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right"/>
        <w:textAlignment w:val="auto"/>
        <w:outlineLvl w:val="9"/>
        <w:rPr>
          <w:rFonts w:hint="eastAsia" w:ascii="宋体" w:hAnsi="宋体" w:cs="宋体"/>
          <w:sz w:val="24"/>
        </w:rPr>
      </w:pPr>
      <w:r>
        <w:rPr>
          <w:rFonts w:hint="eastAsia" w:ascii="宋体" w:hAnsi="宋体"/>
          <w:b/>
          <w:bCs w:val="0"/>
          <w:sz w:val="32"/>
          <w:szCs w:val="32"/>
        </w:rPr>
        <w:t xml:space="preserve"> </w:t>
      </w:r>
      <w:r>
        <w:rPr>
          <w:rFonts w:hint="eastAsia" w:ascii="宋体" w:hAnsi="宋体" w:cs="宋体"/>
          <w:b w:val="0"/>
          <w:bCs w:val="0"/>
          <w:sz w:val="24"/>
          <w:lang w:val="en-US" w:eastAsia="zh-Hans"/>
        </w:rPr>
        <w:t>合同编号：（郑大</w:t>
      </w:r>
      <w:r>
        <w:rPr>
          <w:rFonts w:hint="default" w:ascii="宋体" w:hAnsi="宋体" w:cs="宋体"/>
          <w:b w:val="0"/>
          <w:bCs w:val="0"/>
          <w:sz w:val="24"/>
          <w:lang w:eastAsia="zh-Hans"/>
        </w:rPr>
        <w:t>-</w:t>
      </w:r>
      <w:r>
        <w:rPr>
          <w:rFonts w:hint="eastAsia" w:ascii="宋体" w:hAnsi="宋体" w:cs="宋体"/>
          <w:b w:val="0"/>
          <w:bCs w:val="0"/>
          <w:sz w:val="24"/>
          <w:lang w:val="en-US" w:eastAsia="zh-Hans"/>
        </w:rPr>
        <w:t>竞谈</w:t>
      </w:r>
      <w:r>
        <w:rPr>
          <w:rFonts w:hint="eastAsia" w:ascii="宋体" w:hAnsi="宋体"/>
          <w:b w:val="0"/>
          <w:bCs w:val="0"/>
          <w:sz w:val="24"/>
        </w:rPr>
        <w:t>-2021-</w:t>
      </w:r>
      <w:r>
        <w:rPr>
          <w:rFonts w:hint="default" w:ascii="宋体" w:hAnsi="宋体"/>
          <w:b w:val="0"/>
          <w:bCs w:val="0"/>
          <w:sz w:val="24"/>
        </w:rPr>
        <w:t>0147</w:t>
      </w:r>
      <w:r>
        <w:rPr>
          <w:rFonts w:hint="eastAsia" w:ascii="宋体" w:hAnsi="宋体" w:cs="宋体"/>
          <w:b w:val="0"/>
          <w:bCs w:val="0"/>
          <w:sz w:val="24"/>
          <w:lang w:val="en-US" w:eastAsia="zh-Hans"/>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ascii="宋体"/>
          <w:b/>
          <w:bCs w:val="0"/>
          <w:sz w:val="32"/>
          <w:szCs w:val="32"/>
        </w:rPr>
      </w:pPr>
      <w:r>
        <w:rPr>
          <w:rFonts w:hint="eastAsia" w:ascii="宋体" w:hAnsi="宋体"/>
          <w:b/>
          <w:bCs w:val="0"/>
          <w:sz w:val="32"/>
          <w:szCs w:val="32"/>
        </w:rPr>
        <w:t xml:space="preserve"> </w:t>
      </w:r>
      <w:r>
        <w:rPr>
          <w:rFonts w:hint="eastAsia" w:ascii="宋体" w:hAnsi="宋体" w:cs="宋体"/>
          <w:b/>
          <w:bCs w:val="0"/>
          <w:sz w:val="32"/>
          <w:szCs w:val="32"/>
        </w:rPr>
        <w:t>郑州大学政府采购货物合同</w:t>
      </w:r>
    </w:p>
    <w:p>
      <w:pPr>
        <w:ind w:firstLine="4591" w:firstLineChars="1911"/>
        <w:rPr>
          <w:rFonts w:ascii="宋体"/>
          <w:b/>
          <w:bCs/>
          <w:sz w:val="24"/>
        </w:rPr>
      </w:pPr>
    </w:p>
    <w:p>
      <w:pPr>
        <w:adjustRightInd w:val="0"/>
        <w:snapToGrid w:val="0"/>
        <w:spacing w:line="480" w:lineRule="auto"/>
        <w:jc w:val="left"/>
        <w:rPr>
          <w:rFonts w:hint="default" w:ascii="宋体" w:eastAsia="宋体"/>
          <w:b/>
          <w:bCs/>
          <w:sz w:val="28"/>
          <w:szCs w:val="28"/>
          <w:lang w:val="en-US" w:eastAsia="zh-CN"/>
        </w:rPr>
      </w:pPr>
      <w:r>
        <w:rPr>
          <w:rFonts w:hint="eastAsia" w:ascii="宋体" w:hAnsi="宋体" w:cs="宋体"/>
          <w:b/>
          <w:bCs/>
          <w:sz w:val="28"/>
          <w:szCs w:val="28"/>
        </w:rPr>
        <w:t>甲方：</w:t>
      </w:r>
      <w:r>
        <w:rPr>
          <w:rFonts w:hint="eastAsia" w:ascii="宋体" w:hAnsi="宋体" w:cs="宋体"/>
          <w:b/>
          <w:bCs/>
          <w:sz w:val="28"/>
          <w:szCs w:val="28"/>
          <w:u w:val="single"/>
          <w:lang w:val="en-US" w:eastAsia="zh-CN"/>
        </w:rPr>
        <w:t xml:space="preserve">郑州大学            </w:t>
      </w:r>
    </w:p>
    <w:p>
      <w:pPr>
        <w:adjustRightInd w:val="0"/>
        <w:snapToGrid w:val="0"/>
        <w:spacing w:line="480" w:lineRule="auto"/>
        <w:rPr>
          <w:rFonts w:ascii="宋体"/>
          <w:b/>
          <w:bCs/>
          <w:sz w:val="28"/>
          <w:szCs w:val="28"/>
        </w:rPr>
      </w:pPr>
      <w:r>
        <w:rPr>
          <w:rFonts w:hint="eastAsia" w:ascii="宋体" w:hAnsi="宋体" w:cs="宋体"/>
          <w:b/>
          <w:bCs/>
          <w:sz w:val="28"/>
          <w:szCs w:val="28"/>
        </w:rPr>
        <w:t>乙方：</w:t>
      </w:r>
      <w:r>
        <w:rPr>
          <w:rFonts w:hint="eastAsia" w:ascii="宋体" w:hAnsi="宋体" w:cs="宋体"/>
          <w:b/>
          <w:bCs/>
          <w:sz w:val="28"/>
          <w:szCs w:val="28"/>
          <w:u w:val="single"/>
          <w:lang w:val="en-US" w:eastAsia="zh-Hans"/>
        </w:rPr>
        <w:t>河南邦德仪器设备有限公司</w:t>
      </w:r>
    </w:p>
    <w:p>
      <w:pPr>
        <w:adjustRightInd w:val="0"/>
        <w:snapToGrid w:val="0"/>
        <w:spacing w:line="480" w:lineRule="auto"/>
        <w:rPr>
          <w:rFonts w:ascii="宋体"/>
          <w:sz w:val="24"/>
        </w:rPr>
      </w:pPr>
      <w:r>
        <w:rPr>
          <w:rFonts w:ascii="宋体" w:hAnsi="宋体" w:cs="宋体"/>
          <w:b/>
          <w:bCs/>
          <w:sz w:val="24"/>
        </w:rPr>
        <w:t xml:space="preserve">    </w:t>
      </w:r>
      <w:r>
        <w:rPr>
          <w:rFonts w:hint="eastAsia" w:ascii="宋体" w:hAnsi="宋体" w:cs="宋体"/>
          <w:sz w:val="24"/>
        </w:rPr>
        <w:t>在甲方为获</w:t>
      </w:r>
      <w:r>
        <w:rPr>
          <w:rFonts w:hint="eastAsia" w:ascii="宋体" w:hAnsi="宋体" w:eastAsia="宋体" w:cs="宋体"/>
          <w:sz w:val="24"/>
        </w:rPr>
        <w:t>得</w:t>
      </w:r>
      <w:r>
        <w:rPr>
          <w:rFonts w:hint="eastAsia" w:ascii="宋体" w:hAnsi="宋体" w:eastAsia="宋体" w:cs="宋体"/>
          <w:sz w:val="24"/>
          <w:u w:val="single"/>
        </w:rPr>
        <w:t>（</w:t>
      </w:r>
      <w:r>
        <w:rPr>
          <w:rFonts w:hint="eastAsia" w:ascii="宋体" w:hAnsi="宋体" w:eastAsia="宋体" w:cs="宋体"/>
          <w:b/>
          <w:sz w:val="24"/>
          <w:u w:val="single"/>
        </w:rPr>
        <w:t>郑州大学中原网络安全研究院</w:t>
      </w:r>
      <w:r>
        <w:rPr>
          <w:rFonts w:hint="eastAsia" w:ascii="宋体" w:hAnsi="宋体" w:cs="宋体"/>
          <w:b/>
          <w:sz w:val="24"/>
          <w:u w:val="single"/>
          <w:lang w:val="en-US" w:eastAsia="zh-Hans"/>
        </w:rPr>
        <w:t>工业互联网安全实验室</w:t>
      </w:r>
      <w:r>
        <w:rPr>
          <w:rFonts w:hint="eastAsia" w:ascii="宋体" w:hAnsi="宋体" w:eastAsia="宋体" w:cs="宋体"/>
          <w:b/>
          <w:sz w:val="24"/>
          <w:u w:val="single"/>
        </w:rPr>
        <w:t>项目</w:t>
      </w:r>
      <w:r>
        <w:rPr>
          <w:rFonts w:hint="eastAsia" w:ascii="宋体" w:hAnsi="宋体" w:eastAsia="宋体" w:cs="宋体"/>
          <w:sz w:val="24"/>
          <w:u w:val="single"/>
        </w:rPr>
        <w:t>）</w:t>
      </w:r>
      <w:r>
        <w:rPr>
          <w:rFonts w:hint="eastAsia" w:ascii="宋体" w:hAnsi="宋体" w:eastAsia="宋体" w:cs="宋体"/>
          <w:sz w:val="24"/>
        </w:rPr>
        <w:t>货物和伴随服务实施公开招标，乙方参加了公开招标。通过公开招标，甲方接受了乙方以总金额</w:t>
      </w:r>
      <w:r>
        <w:rPr>
          <w:rFonts w:hint="eastAsia" w:ascii="宋体" w:hAnsi="宋体" w:eastAsia="宋体" w:cs="宋体"/>
          <w:sz w:val="24"/>
          <w:u w:val="single"/>
        </w:rPr>
        <w:t>（</w:t>
      </w:r>
      <w:r>
        <w:rPr>
          <w:rFonts w:hint="eastAsia" w:ascii="宋体" w:hAnsi="宋体" w:eastAsia="宋体" w:cs="宋体"/>
          <w:sz w:val="24"/>
          <w:u w:val="single"/>
          <w:lang w:val="en-US" w:eastAsia="zh-CN"/>
        </w:rPr>
        <w:t>人民币：</w:t>
      </w:r>
      <w:r>
        <w:rPr>
          <w:rFonts w:hint="eastAsia" w:ascii="宋体" w:hAnsi="宋体" w:cs="宋体"/>
          <w:sz w:val="24"/>
          <w:u w:val="single"/>
          <w:lang w:val="en-US" w:eastAsia="zh-Hans"/>
        </w:rPr>
        <w:t>肆拾柒万玖仟捌佰</w:t>
      </w:r>
      <w:r>
        <w:rPr>
          <w:rFonts w:hint="eastAsia" w:ascii="宋体" w:hAnsi="宋体" w:eastAsia="宋体" w:cs="宋体"/>
          <w:kern w:val="2"/>
          <w:sz w:val="24"/>
          <w:szCs w:val="24"/>
          <w:u w:val="single"/>
          <w:lang w:val="en-US" w:eastAsia="zh-Hans"/>
        </w:rPr>
        <w:t>圆整</w:t>
      </w:r>
      <w:r>
        <w:rPr>
          <w:rFonts w:hint="eastAsia" w:ascii="宋体" w:hAnsi="宋体" w:eastAsia="宋体" w:cs="宋体"/>
          <w:sz w:val="24"/>
          <w:szCs w:val="24"/>
          <w:u w:val="single"/>
          <w:lang w:eastAsia="zh-Hans"/>
        </w:rPr>
        <w:t>，</w:t>
      </w:r>
      <w:r>
        <w:rPr>
          <w:rFonts w:hint="eastAsia" w:ascii="宋体" w:hAnsi="宋体" w:eastAsia="宋体" w:cs="宋体"/>
          <w:sz w:val="24"/>
          <w:szCs w:val="24"/>
          <w:u w:val="single"/>
          <w:lang w:val="en-US" w:eastAsia="zh-Hans"/>
        </w:rPr>
        <w:t>小写：</w:t>
      </w:r>
      <w:r>
        <w:rPr>
          <w:rFonts w:hint="default" w:ascii="宋体" w:hAnsi="宋体" w:cs="宋体"/>
          <w:sz w:val="24"/>
          <w:szCs w:val="24"/>
          <w:u w:val="single"/>
          <w:lang w:eastAsia="zh-Hans"/>
        </w:rPr>
        <w:t>479800</w:t>
      </w:r>
      <w:r>
        <w:rPr>
          <w:rFonts w:hint="eastAsia" w:ascii="宋体" w:hAnsi="宋体" w:eastAsia="宋体" w:cs="宋体"/>
          <w:sz w:val="24"/>
          <w:szCs w:val="24"/>
        </w:rPr>
        <w:t>元</w:t>
      </w:r>
      <w:r>
        <w:rPr>
          <w:rFonts w:hint="eastAsia" w:ascii="宋体" w:hAnsi="宋体" w:eastAsia="宋体" w:cs="宋体"/>
          <w:sz w:val="24"/>
        </w:rPr>
        <w:t>）</w:t>
      </w:r>
      <w:r>
        <w:rPr>
          <w:rFonts w:hint="eastAsia" w:ascii="宋体" w:hAnsi="宋体" w:cs="宋体"/>
          <w:sz w:val="24"/>
        </w:rPr>
        <w:t>（以下简称“合同价”）的投标。双方以上述事实为基础，签订本合同。</w:t>
      </w:r>
    </w:p>
    <w:p>
      <w:pPr>
        <w:adjustRightInd w:val="0"/>
        <w:snapToGrid w:val="0"/>
        <w:spacing w:line="480" w:lineRule="auto"/>
        <w:ind w:firstLine="561" w:firstLineChars="200"/>
        <w:rPr>
          <w:rFonts w:ascii="宋体"/>
          <w:b/>
          <w:bCs/>
          <w:sz w:val="28"/>
          <w:szCs w:val="28"/>
        </w:rPr>
      </w:pPr>
      <w:r>
        <w:rPr>
          <w:rFonts w:hint="eastAsia" w:ascii="宋体" w:hAnsi="宋体" w:cs="宋体"/>
          <w:b/>
          <w:bCs/>
          <w:sz w:val="28"/>
          <w:szCs w:val="28"/>
        </w:rPr>
        <w:t>一、供货范围及分项价格表（详见附件</w:t>
      </w:r>
      <w:r>
        <w:rPr>
          <w:rFonts w:ascii="宋体" w:hAnsi="宋体" w:cs="宋体"/>
          <w:b/>
          <w:bCs/>
          <w:sz w:val="28"/>
          <w:szCs w:val="28"/>
        </w:rPr>
        <w:t>1</w:t>
      </w:r>
      <w:r>
        <w:rPr>
          <w:rFonts w:hint="eastAsia" w:ascii="宋体" w:hAnsi="宋体" w:cs="宋体"/>
          <w:b/>
          <w:bCs/>
          <w:sz w:val="28"/>
          <w:szCs w:val="28"/>
        </w:rPr>
        <w:t>、附件</w:t>
      </w:r>
      <w:r>
        <w:rPr>
          <w:rFonts w:ascii="宋体" w:hAnsi="宋体" w:cs="宋体"/>
          <w:b/>
          <w:bCs/>
          <w:sz w:val="28"/>
          <w:szCs w:val="28"/>
        </w:rPr>
        <w:t>2</w:t>
      </w:r>
      <w:r>
        <w:rPr>
          <w:rFonts w:hint="eastAsia" w:ascii="宋体" w:hAnsi="宋体" w:cs="宋体"/>
          <w:b/>
          <w:bCs/>
          <w:sz w:val="28"/>
          <w:szCs w:val="28"/>
        </w:rPr>
        <w:t>）</w:t>
      </w:r>
    </w:p>
    <w:p>
      <w:pPr>
        <w:adjustRightInd w:val="0"/>
        <w:snapToGrid w:val="0"/>
        <w:spacing w:line="480" w:lineRule="auto"/>
        <w:ind w:firstLine="570"/>
        <w:rPr>
          <w:rFonts w:ascii="宋体"/>
          <w:sz w:val="24"/>
        </w:rPr>
      </w:pPr>
      <w:r>
        <w:rPr>
          <w:rFonts w:ascii="宋体" w:hAnsi="宋体" w:cs="宋体"/>
          <w:sz w:val="24"/>
        </w:rPr>
        <w:t>1</w:t>
      </w:r>
      <w:r>
        <w:rPr>
          <w:rFonts w:hint="eastAsia" w:ascii="宋体" w:hAnsi="宋体" w:cs="宋体"/>
          <w:sz w:val="24"/>
        </w:rPr>
        <w:t>、本合同所指设备详见附件</w:t>
      </w:r>
      <w:r>
        <w:rPr>
          <w:rFonts w:ascii="宋体" w:hAnsi="宋体" w:cs="宋体"/>
          <w:sz w:val="24"/>
        </w:rPr>
        <w:t>1</w:t>
      </w:r>
      <w:r>
        <w:rPr>
          <w:rFonts w:hint="eastAsia" w:ascii="宋体" w:hAnsi="宋体" w:cs="宋体"/>
          <w:sz w:val="24"/>
        </w:rPr>
        <w:t>、附件</w:t>
      </w:r>
      <w:r>
        <w:rPr>
          <w:rFonts w:ascii="宋体" w:hAnsi="宋体" w:cs="宋体"/>
          <w:sz w:val="24"/>
        </w:rPr>
        <w:t xml:space="preserve">2 </w:t>
      </w:r>
      <w:r>
        <w:rPr>
          <w:rFonts w:hint="eastAsia" w:ascii="宋体" w:hAnsi="宋体" w:cs="宋体"/>
          <w:sz w:val="24"/>
        </w:rPr>
        <w:t>，此附件是本合同不可分割的部分。</w:t>
      </w:r>
    </w:p>
    <w:p>
      <w:pPr>
        <w:adjustRightInd w:val="0"/>
        <w:snapToGrid w:val="0"/>
        <w:spacing w:line="480" w:lineRule="auto"/>
        <w:rPr>
          <w:sz w:val="24"/>
        </w:rPr>
      </w:pPr>
      <w:r>
        <w:rPr>
          <w:rFonts w:ascii="宋体" w:hAnsi="宋体" w:cs="宋体"/>
          <w:sz w:val="24"/>
        </w:rPr>
        <w:t xml:space="preserve">     2</w:t>
      </w:r>
      <w:r>
        <w:rPr>
          <w:rFonts w:hint="eastAsia" w:ascii="宋体" w:hAnsi="宋体" w:cs="宋体"/>
          <w:sz w:val="24"/>
        </w:rPr>
        <w:t>、总价中包括设备金额、包装、运输、保险费、装卸费、安装及相关材料费、调试费、软件费、检验费及培训所需费用及税金，甲方不再另行支付任何费用。</w:t>
      </w:r>
    </w:p>
    <w:p>
      <w:pPr>
        <w:adjustRightInd w:val="0"/>
        <w:snapToGrid w:val="0"/>
        <w:spacing w:line="480" w:lineRule="auto"/>
        <w:ind w:firstLine="561" w:firstLineChars="200"/>
        <w:rPr>
          <w:rFonts w:hint="eastAsia" w:ascii="宋体" w:hAnsi="宋体" w:eastAsia="宋体" w:cs="宋体"/>
          <w:b/>
          <w:bCs/>
          <w:sz w:val="28"/>
          <w:szCs w:val="28"/>
        </w:rPr>
      </w:pPr>
      <w:r>
        <w:rPr>
          <w:rFonts w:hint="eastAsia" w:ascii="宋体" w:hAnsi="宋体" w:eastAsia="宋体" w:cs="宋体"/>
          <w:b/>
          <w:bCs/>
          <w:sz w:val="28"/>
          <w:szCs w:val="28"/>
        </w:rPr>
        <w:t>二、质量及技术规格要求</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70" w:firstLineChars="0"/>
        <w:jc w:val="both"/>
        <w:textAlignment w:val="auto"/>
        <w:outlineLvl w:val="9"/>
        <w:rPr>
          <w:rFonts w:ascii="宋体"/>
          <w:sz w:val="24"/>
        </w:rPr>
      </w:pPr>
      <w:r>
        <w:rPr>
          <w:rFonts w:hint="eastAsia" w:ascii="宋体" w:hAnsi="宋体" w:cs="宋体"/>
          <w:sz w:val="24"/>
        </w:rPr>
        <w:t>乙方须按合同要求提供全新设备（包括零部件、附件、备品备件），设备的质量标准、规格型号、具体配置、数量须符合招标标书要求，其产品为原厂生产，且应达到乙方投标文件及澄清文件中明确的技术标准。</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70" w:firstLineChars="0"/>
        <w:jc w:val="both"/>
        <w:textAlignment w:val="auto"/>
        <w:outlineLvl w:val="9"/>
        <w:rPr>
          <w:rFonts w:ascii="宋体"/>
          <w:sz w:val="24"/>
        </w:rPr>
      </w:pPr>
      <w:r>
        <w:rPr>
          <w:rFonts w:hint="eastAsia" w:ascii="宋体" w:hAnsi="宋体" w:cs="宋体"/>
          <w:color w:val="auto"/>
          <w:sz w:val="24"/>
        </w:rPr>
        <w:t>乙方应在本合同生效后</w:t>
      </w:r>
      <w:r>
        <w:rPr>
          <w:rFonts w:ascii="宋体" w:hAnsi="宋体" w:cs="宋体"/>
          <w:color w:val="auto"/>
          <w:sz w:val="24"/>
          <w:u w:val="single"/>
        </w:rPr>
        <w:t xml:space="preserve"> </w:t>
      </w:r>
      <w:r>
        <w:rPr>
          <w:rFonts w:hint="default" w:ascii="宋体" w:hAnsi="宋体" w:cs="宋体"/>
          <w:color w:val="auto"/>
          <w:sz w:val="24"/>
          <w:u w:val="single"/>
          <w:lang w:eastAsia="zh-CN"/>
        </w:rPr>
        <w:t>10</w:t>
      </w:r>
      <w:r>
        <w:rPr>
          <w:rFonts w:ascii="宋体" w:hAnsi="宋体" w:cs="宋体"/>
          <w:color w:val="auto"/>
          <w:sz w:val="24"/>
          <w:u w:val="single"/>
        </w:rPr>
        <w:t xml:space="preserve">  </w:t>
      </w:r>
      <w:r>
        <w:rPr>
          <w:rFonts w:hint="eastAsia" w:ascii="宋体" w:hAnsi="宋体" w:cs="宋体"/>
          <w:color w:val="auto"/>
          <w:sz w:val="24"/>
        </w:rPr>
        <w:t>个</w:t>
      </w:r>
      <w:r>
        <w:rPr>
          <w:rFonts w:hint="eastAsia" w:ascii="宋体" w:hAnsi="宋体" w:cs="宋体"/>
          <w:color w:val="auto"/>
          <w:sz w:val="24"/>
          <w:lang w:val="en-US" w:eastAsia="zh-Hans"/>
        </w:rPr>
        <w:t>日历日</w:t>
      </w:r>
      <w:r>
        <w:rPr>
          <w:rFonts w:hint="eastAsia" w:ascii="宋体" w:hAnsi="宋体" w:cs="宋体"/>
          <w:color w:val="auto"/>
          <w:sz w:val="24"/>
        </w:rPr>
        <w:t>内向甲方提供安装计划及质量控制规范；并于</w:t>
      </w:r>
      <w:r>
        <w:rPr>
          <w:rFonts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default" w:ascii="宋体" w:hAnsi="宋体" w:cs="宋体"/>
          <w:color w:val="auto"/>
          <w:sz w:val="24"/>
          <w:u w:val="single"/>
          <w:lang w:eastAsia="zh-CN"/>
        </w:rPr>
        <w:t>12</w:t>
      </w:r>
      <w:r>
        <w:rPr>
          <w:rFonts w:ascii="宋体" w:hAnsi="宋体" w:cs="宋体"/>
          <w:color w:val="auto"/>
          <w:sz w:val="24"/>
          <w:u w:val="single"/>
        </w:rPr>
        <w:t xml:space="preserve"> </w:t>
      </w:r>
      <w:r>
        <w:rPr>
          <w:rFonts w:hint="eastAsia" w:ascii="宋体" w:hAnsi="宋体" w:cs="宋体"/>
          <w:color w:val="auto"/>
          <w:sz w:val="24"/>
        </w:rPr>
        <w:t>月</w:t>
      </w:r>
      <w:r>
        <w:rPr>
          <w:rFonts w:ascii="宋体" w:hAnsi="宋体" w:cs="宋体"/>
          <w:color w:val="auto"/>
          <w:sz w:val="24"/>
          <w:u w:val="single"/>
        </w:rPr>
        <w:t xml:space="preserve"> 18</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r>
        <w:rPr>
          <w:rFonts w:hint="eastAsia" w:ascii="宋体" w:hAnsi="宋体" w:cs="宋体"/>
          <w:color w:val="auto"/>
          <w:sz w:val="24"/>
        </w:rPr>
        <w:t>日前进驻安装现场；所有设备运送到甲方指定地点后，双方在</w:t>
      </w:r>
      <w:r>
        <w:rPr>
          <w:rFonts w:ascii="宋体" w:hAnsi="宋体" w:cs="宋体"/>
          <w:color w:val="auto"/>
          <w:sz w:val="24"/>
          <w:u w:val="single"/>
        </w:rPr>
        <w:t xml:space="preserve">  </w:t>
      </w:r>
      <w:r>
        <w:rPr>
          <w:rFonts w:hint="default" w:ascii="宋体" w:hAnsi="宋体" w:cs="宋体"/>
          <w:color w:val="auto"/>
          <w:sz w:val="24"/>
          <w:u w:val="single"/>
          <w:lang w:eastAsia="zh-CN"/>
        </w:rPr>
        <w:t xml:space="preserve">7 </w:t>
      </w:r>
      <w:r>
        <w:rPr>
          <w:rFonts w:hint="eastAsia" w:ascii="宋体" w:hAnsi="宋体" w:cs="宋体"/>
          <w:color w:val="auto"/>
          <w:sz w:val="24"/>
        </w:rPr>
        <w:t>日内共同验收并签署验收意见。</w:t>
      </w:r>
      <w:r>
        <w:rPr>
          <w:rFonts w:hint="eastAsia" w:ascii="宋体" w:hAnsi="宋体" w:cs="宋体"/>
          <w:sz w:val="24"/>
        </w:rPr>
        <w:t>甲方无正当理由，不得拒绝接收；在安装调试过程中，甲方有权采取适当的方式对乙方产品的质量标准、规格型号、具体配置、数量以及安装质量和进度等进行检查。甲方如果发现乙方所供设备不符合合同约定，甲方有权单方解除合同，由此产生的一切费用乙方承担。</w:t>
      </w:r>
    </w:p>
    <w:p>
      <w:pPr>
        <w:adjustRightInd w:val="0"/>
        <w:snapToGrid w:val="0"/>
        <w:spacing w:line="480" w:lineRule="auto"/>
        <w:ind w:firstLine="561" w:firstLineChars="200"/>
        <w:rPr>
          <w:rFonts w:hint="eastAsia" w:ascii="宋体" w:hAnsi="宋体" w:eastAsia="宋体" w:cs="宋体"/>
          <w:b/>
          <w:bCs/>
          <w:sz w:val="28"/>
          <w:szCs w:val="28"/>
        </w:rPr>
      </w:pPr>
      <w:r>
        <w:rPr>
          <w:rFonts w:hint="eastAsia" w:ascii="宋体" w:hAnsi="宋体" w:eastAsia="宋体" w:cs="宋体"/>
          <w:b/>
          <w:bCs/>
          <w:sz w:val="28"/>
          <w:szCs w:val="28"/>
          <w:lang w:val="en-US" w:eastAsia="zh-CN"/>
        </w:rPr>
        <w:t>三</w:t>
      </w:r>
      <w:r>
        <w:rPr>
          <w:rFonts w:hint="eastAsia" w:ascii="宋体" w:hAnsi="宋体" w:cs="宋体"/>
          <w:b/>
          <w:bCs/>
          <w:sz w:val="28"/>
          <w:szCs w:val="28"/>
        </w:rPr>
        <w:t>、</w:t>
      </w:r>
      <w:r>
        <w:rPr>
          <w:rFonts w:hint="eastAsia" w:ascii="宋体" w:hAnsi="宋体" w:eastAsia="宋体" w:cs="宋体"/>
          <w:b/>
          <w:bCs/>
          <w:sz w:val="28"/>
          <w:szCs w:val="28"/>
        </w:rPr>
        <w:t>包装与运输</w:t>
      </w:r>
    </w:p>
    <w:p>
      <w:pPr>
        <w:adjustRightInd w:val="0"/>
        <w:snapToGrid w:val="0"/>
        <w:spacing w:line="480" w:lineRule="auto"/>
        <w:ind w:firstLine="570"/>
        <w:rPr>
          <w:rFonts w:ascii="宋体"/>
          <w:sz w:val="24"/>
        </w:rPr>
      </w:pPr>
      <w:r>
        <w:rPr>
          <w:rFonts w:hint="eastAsia" w:ascii="宋体" w:hAnsi="宋体" w:cs="宋体"/>
          <w:sz w:val="24"/>
        </w:rPr>
        <w:t>设备交付使用前发生的所有与设备相关的运输、安装及安全保障事项等均由乙方负责；设备包装应符合抗震、防潮、防冻、防锈以及长途运输等要求，由于包装不当或防护措施不力而导致的商品损坏、损失、腐蚀等损失均由乙方承担；设备交付使用前所发生的所有与设备相关的经济纠纷及法律责任均与甲方无关。</w:t>
      </w:r>
    </w:p>
    <w:p>
      <w:pPr>
        <w:adjustRightInd w:val="0"/>
        <w:snapToGrid w:val="0"/>
        <w:spacing w:line="480" w:lineRule="auto"/>
        <w:ind w:firstLine="561" w:firstLineChars="200"/>
        <w:rPr>
          <w:rFonts w:hint="default" w:ascii="宋体" w:eastAsia="宋体"/>
          <w:b/>
          <w:bCs/>
          <w:sz w:val="28"/>
          <w:szCs w:val="28"/>
          <w:lang w:val="en-US" w:eastAsia="zh-CN"/>
        </w:rPr>
      </w:pPr>
      <w:r>
        <w:rPr>
          <w:rFonts w:hint="eastAsia" w:ascii="宋体" w:hAnsi="宋体" w:cs="宋体"/>
          <w:b/>
          <w:bCs/>
          <w:sz w:val="28"/>
          <w:szCs w:val="28"/>
        </w:rPr>
        <w:t>四、质保期与售后服务</w:t>
      </w:r>
      <w:r>
        <w:rPr>
          <w:rFonts w:hint="eastAsia" w:ascii="宋体" w:hAnsi="宋体" w:cs="宋体"/>
          <w:b/>
          <w:bCs/>
          <w:sz w:val="28"/>
          <w:szCs w:val="28"/>
          <w:lang w:eastAsia="zh-CN"/>
        </w:rPr>
        <w:t>（</w:t>
      </w:r>
      <w:r>
        <w:rPr>
          <w:rFonts w:hint="eastAsia" w:ascii="宋体" w:hAnsi="宋体" w:cs="宋体"/>
          <w:b/>
          <w:bCs/>
          <w:sz w:val="28"/>
          <w:szCs w:val="28"/>
          <w:lang w:val="en-US" w:eastAsia="zh-CN"/>
        </w:rPr>
        <w:t>详见附件3）</w:t>
      </w:r>
    </w:p>
    <w:p>
      <w:pPr>
        <w:adjustRightInd w:val="0"/>
        <w:snapToGrid w:val="0"/>
        <w:spacing w:line="480" w:lineRule="auto"/>
        <w:ind w:firstLine="480"/>
        <w:rPr>
          <w:rFonts w:ascii="宋体"/>
          <w:sz w:val="24"/>
        </w:rPr>
      </w:pPr>
      <w:r>
        <w:rPr>
          <w:rFonts w:ascii="宋体" w:hAnsi="宋体" w:cs="宋体"/>
          <w:sz w:val="24"/>
        </w:rPr>
        <w:t>1</w:t>
      </w:r>
      <w:r>
        <w:rPr>
          <w:rFonts w:hint="eastAsia" w:ascii="宋体" w:hAnsi="宋体" w:cs="宋体"/>
          <w:sz w:val="24"/>
        </w:rPr>
        <w:t>、所有设备免费质保期为</w:t>
      </w:r>
      <w:r>
        <w:rPr>
          <w:rFonts w:hint="eastAsia" w:ascii="宋体" w:hAnsi="宋体" w:cs="宋体"/>
          <w:sz w:val="24"/>
          <w:u w:val="single"/>
          <w:lang w:val="en-US" w:eastAsia="zh-CN"/>
        </w:rPr>
        <w:t xml:space="preserve"> </w:t>
      </w:r>
      <w:r>
        <w:rPr>
          <w:rFonts w:hint="default" w:ascii="宋体" w:hAnsi="宋体" w:cs="宋体"/>
          <w:sz w:val="24"/>
          <w:u w:val="single"/>
          <w:lang w:eastAsia="zh-CN"/>
        </w:rPr>
        <w:t>1</w:t>
      </w:r>
      <w:r>
        <w:rPr>
          <w:rFonts w:hint="eastAsia" w:ascii="宋体" w:hAnsi="宋体" w:cs="宋体"/>
          <w:sz w:val="24"/>
          <w:u w:val="single"/>
          <w:lang w:val="en-US" w:eastAsia="zh-CN"/>
        </w:rPr>
        <w:t xml:space="preserve"> </w:t>
      </w:r>
      <w:r>
        <w:rPr>
          <w:rFonts w:hint="eastAsia" w:ascii="宋体" w:hAnsi="宋体" w:cs="宋体"/>
          <w:sz w:val="24"/>
        </w:rPr>
        <w:t>年，自验收合格并交付给甲方之日起计算，且</w:t>
      </w:r>
      <w:r>
        <w:rPr>
          <w:rFonts w:ascii="宋体" w:hAnsi="宋体" w:cs="宋体"/>
          <w:sz w:val="24"/>
        </w:rPr>
        <w:t>乙方应</w:t>
      </w:r>
      <w:r>
        <w:rPr>
          <w:rFonts w:hint="eastAsia" w:ascii="宋体" w:hAnsi="宋体" w:cs="宋体"/>
          <w:sz w:val="24"/>
        </w:rPr>
        <w:t>终身维护、维修。</w:t>
      </w:r>
    </w:p>
    <w:p>
      <w:pPr>
        <w:adjustRightInd w:val="0"/>
        <w:snapToGrid w:val="0"/>
        <w:spacing w:line="480" w:lineRule="auto"/>
        <w:ind w:firstLine="480"/>
        <w:rPr>
          <w:rFonts w:ascii="宋体"/>
          <w:sz w:val="24"/>
        </w:rPr>
      </w:pPr>
      <w:r>
        <w:rPr>
          <w:rFonts w:ascii="宋体" w:hAnsi="宋体" w:cs="宋体"/>
          <w:sz w:val="24"/>
        </w:rPr>
        <w:t>2</w:t>
      </w:r>
      <w:r>
        <w:rPr>
          <w:rFonts w:hint="eastAsia" w:ascii="宋体" w:hAnsi="宋体" w:cs="宋体"/>
          <w:sz w:val="24"/>
        </w:rPr>
        <w:t>、在质保期内，因产品质量造成的问题，乙方应免费提供配件并现场维修，且所提供的任何零配件必须是其原设备厂家生产的或经其认可的。产品存在质量问题，甲方有权要求乙方换货。</w:t>
      </w:r>
    </w:p>
    <w:p>
      <w:pPr>
        <w:adjustRightInd w:val="0"/>
        <w:snapToGrid w:val="0"/>
        <w:spacing w:line="480" w:lineRule="auto"/>
        <w:ind w:firstLine="480"/>
        <w:rPr>
          <w:rFonts w:ascii="宋体"/>
          <w:sz w:val="24"/>
        </w:rPr>
      </w:pPr>
      <w:r>
        <w:rPr>
          <w:rFonts w:ascii="宋体" w:hAnsi="宋体" w:cs="宋体"/>
          <w:sz w:val="24"/>
        </w:rPr>
        <w:t>3</w:t>
      </w:r>
      <w:r>
        <w:rPr>
          <w:rFonts w:hint="eastAsia" w:ascii="宋体" w:hAnsi="宋体" w:cs="宋体"/>
          <w:sz w:val="24"/>
        </w:rPr>
        <w:t>、乙方须提供一年</w:t>
      </w:r>
      <w:r>
        <w:rPr>
          <w:rFonts w:ascii="宋体" w:hAnsi="宋体" w:cs="宋体"/>
          <w:sz w:val="24"/>
          <w:u w:val="single"/>
        </w:rPr>
        <w:t xml:space="preserve">  </w:t>
      </w:r>
      <w:r>
        <w:rPr>
          <w:rFonts w:hint="eastAsia" w:ascii="宋体" w:hAnsi="宋体" w:cs="宋体"/>
          <w:sz w:val="24"/>
          <w:u w:val="single"/>
          <w:lang w:val="en-US" w:eastAsia="zh-CN"/>
        </w:rPr>
        <w:t>2</w:t>
      </w:r>
      <w:r>
        <w:rPr>
          <w:rFonts w:ascii="宋体" w:hAnsi="宋体" w:cs="宋体"/>
          <w:sz w:val="24"/>
          <w:u w:val="single"/>
        </w:rPr>
        <w:t xml:space="preserve">  </w:t>
      </w:r>
      <w:r>
        <w:rPr>
          <w:rFonts w:hint="eastAsia" w:ascii="宋体" w:hAnsi="宋体" w:cs="宋体"/>
          <w:sz w:val="24"/>
        </w:rPr>
        <w:t>次全免费（配件</w:t>
      </w:r>
      <w:r>
        <w:rPr>
          <w:rFonts w:ascii="宋体" w:hAnsi="宋体" w:cs="宋体"/>
          <w:sz w:val="24"/>
        </w:rPr>
        <w:t>+</w:t>
      </w:r>
      <w:r>
        <w:rPr>
          <w:rFonts w:hint="eastAsia" w:ascii="宋体" w:hAnsi="宋体" w:cs="宋体"/>
          <w:sz w:val="24"/>
        </w:rPr>
        <w:t>人力）对产品设备的维护保养。</w:t>
      </w:r>
    </w:p>
    <w:p>
      <w:pPr>
        <w:adjustRightInd w:val="0"/>
        <w:snapToGrid w:val="0"/>
        <w:spacing w:line="480" w:lineRule="auto"/>
        <w:ind w:firstLine="480"/>
        <w:rPr>
          <w:rFonts w:ascii="宋体" w:hAnsi="宋体" w:cs="宋体"/>
          <w:sz w:val="24"/>
        </w:rPr>
      </w:pPr>
      <w:r>
        <w:rPr>
          <w:rFonts w:ascii="宋体" w:hAnsi="宋体" w:cs="宋体"/>
          <w:sz w:val="24"/>
        </w:rPr>
        <w:t>4</w:t>
      </w:r>
      <w:r>
        <w:rPr>
          <w:rFonts w:hint="eastAsia" w:ascii="宋体" w:hAnsi="宋体" w:cs="宋体"/>
          <w:sz w:val="24"/>
        </w:rPr>
        <w:t>、乙方承诺凡设备出现故障，自接到甲方报修电话</w:t>
      </w:r>
      <w:r>
        <w:rPr>
          <w:rFonts w:ascii="宋体" w:hAnsi="宋体" w:cs="宋体"/>
          <w:sz w:val="24"/>
        </w:rPr>
        <w:t>1</w:t>
      </w:r>
      <w:r>
        <w:rPr>
          <w:rFonts w:hint="eastAsia" w:ascii="宋体" w:hAnsi="宋体" w:cs="宋体"/>
          <w:sz w:val="24"/>
        </w:rPr>
        <w:t>小时响应，</w:t>
      </w:r>
      <w:r>
        <w:rPr>
          <w:rFonts w:ascii="宋体" w:hAnsi="宋体" w:cs="宋体"/>
          <w:sz w:val="24"/>
        </w:rPr>
        <w:t>3</w:t>
      </w:r>
      <w:r>
        <w:rPr>
          <w:rFonts w:hint="eastAsia" w:ascii="宋体" w:hAnsi="宋体" w:cs="宋体"/>
          <w:sz w:val="24"/>
        </w:rPr>
        <w:t>小时内到达现场，</w:t>
      </w:r>
      <w:r>
        <w:rPr>
          <w:rFonts w:ascii="宋体" w:hAnsi="宋体" w:cs="宋体"/>
          <w:sz w:val="24"/>
        </w:rPr>
        <w:t>24</w:t>
      </w:r>
      <w:r>
        <w:rPr>
          <w:rFonts w:hint="eastAsia" w:ascii="宋体" w:hAnsi="宋体" w:cs="宋体"/>
          <w:sz w:val="24"/>
        </w:rPr>
        <w:t>小时内解决故障问题。保修期外只收取甲方零配件成本费，其他免费。</w:t>
      </w:r>
    </w:p>
    <w:p>
      <w:pPr>
        <w:adjustRightInd w:val="0"/>
        <w:snapToGrid w:val="0"/>
        <w:spacing w:line="480" w:lineRule="auto"/>
        <w:ind w:firstLine="480"/>
        <w:jc w:val="left"/>
        <w:rPr>
          <w:rFonts w:ascii="宋体" w:hAnsi="宋体" w:cs="宋体"/>
          <w:sz w:val="24"/>
        </w:rPr>
      </w:pPr>
      <w:r>
        <w:rPr>
          <w:rFonts w:hint="eastAsia" w:ascii="宋体" w:hAnsi="宋体" w:cs="宋体"/>
          <w:sz w:val="24"/>
        </w:rPr>
        <w:t xml:space="preserve">5、乙方有责任对甲方相关人员实施免费的现场培训或集中培训措施，保证甲方相关人员能够独立操作、熟练使用、维护和管理有关设备。                                                                                  </w:t>
      </w:r>
    </w:p>
    <w:p>
      <w:pPr>
        <w:adjustRightInd w:val="0"/>
        <w:snapToGrid w:val="0"/>
        <w:spacing w:line="480" w:lineRule="auto"/>
        <w:ind w:firstLine="480"/>
        <w:rPr>
          <w:rFonts w:ascii="宋体"/>
          <w:b/>
          <w:bCs/>
          <w:sz w:val="24"/>
        </w:rPr>
      </w:pPr>
      <w:r>
        <w:rPr>
          <w:rFonts w:ascii="宋体" w:hAnsi="宋体" w:cs="宋体"/>
          <w:sz w:val="24"/>
        </w:rPr>
        <w:t>6</w:t>
      </w:r>
      <w:r>
        <w:rPr>
          <w:rFonts w:hint="eastAsia" w:ascii="宋体" w:hAnsi="宋体" w:cs="宋体"/>
          <w:sz w:val="24"/>
        </w:rPr>
        <w:t>、其它应</w:t>
      </w:r>
      <w:r>
        <w:rPr>
          <w:rFonts w:ascii="宋体" w:hAnsi="宋体" w:cs="宋体"/>
          <w:sz w:val="24"/>
        </w:rPr>
        <w:t>规定事项</w:t>
      </w:r>
      <w:r>
        <w:rPr>
          <w:rFonts w:hint="eastAsia" w:ascii="宋体" w:hAnsi="宋体" w:cs="宋体"/>
          <w:bCs/>
          <w:sz w:val="24"/>
        </w:rPr>
        <w:t>。</w:t>
      </w:r>
    </w:p>
    <w:p>
      <w:pPr>
        <w:adjustRightInd w:val="0"/>
        <w:snapToGrid w:val="0"/>
        <w:spacing w:line="480" w:lineRule="auto"/>
        <w:ind w:firstLine="561" w:firstLineChars="200"/>
        <w:rPr>
          <w:rFonts w:ascii="宋体"/>
          <w:b/>
          <w:bCs/>
          <w:sz w:val="28"/>
          <w:szCs w:val="28"/>
        </w:rPr>
      </w:pPr>
      <w:r>
        <w:rPr>
          <w:rFonts w:hint="eastAsia" w:ascii="宋体" w:hAnsi="宋体" w:cs="宋体"/>
          <w:b/>
          <w:bCs/>
          <w:sz w:val="28"/>
          <w:szCs w:val="28"/>
        </w:rPr>
        <w:t>五、技术服务</w:t>
      </w:r>
    </w:p>
    <w:p>
      <w:pPr>
        <w:adjustRightInd w:val="0"/>
        <w:snapToGrid w:val="0"/>
        <w:spacing w:line="480" w:lineRule="auto"/>
        <w:ind w:firstLine="480"/>
        <w:rPr>
          <w:rFonts w:ascii="宋体"/>
          <w:sz w:val="24"/>
        </w:rPr>
      </w:pPr>
      <w:r>
        <w:rPr>
          <w:rFonts w:ascii="宋体" w:hAnsi="宋体" w:cs="宋体"/>
          <w:sz w:val="24"/>
        </w:rPr>
        <w:t>1</w:t>
      </w:r>
      <w:r>
        <w:rPr>
          <w:rFonts w:hint="eastAsia" w:ascii="宋体" w:hAnsi="宋体" w:cs="宋体"/>
          <w:sz w:val="24"/>
        </w:rPr>
        <w:t>、乙方向甲方免费提供标准安装调试及</w:t>
      </w:r>
      <w:r>
        <w:rPr>
          <w:rFonts w:ascii="宋体" w:hAnsi="宋体" w:cs="宋体"/>
          <w:sz w:val="24"/>
          <w:u w:val="single"/>
        </w:rPr>
        <w:t xml:space="preserve"> 10  </w:t>
      </w:r>
      <w:r>
        <w:rPr>
          <w:rFonts w:hint="eastAsia" w:ascii="宋体" w:hAnsi="宋体" w:cs="宋体"/>
          <w:sz w:val="24"/>
        </w:rPr>
        <w:t>人次国内操作培训。</w:t>
      </w:r>
    </w:p>
    <w:p>
      <w:pPr>
        <w:adjustRightInd w:val="0"/>
        <w:snapToGrid w:val="0"/>
        <w:spacing w:line="480" w:lineRule="auto"/>
        <w:ind w:firstLine="480"/>
        <w:rPr>
          <w:rFonts w:ascii="宋体"/>
          <w:sz w:val="24"/>
        </w:rPr>
      </w:pPr>
      <w:r>
        <w:rPr>
          <w:rFonts w:ascii="宋体" w:hAnsi="宋体" w:cs="宋体"/>
          <w:sz w:val="24"/>
        </w:rPr>
        <w:t>2</w:t>
      </w:r>
      <w:r>
        <w:rPr>
          <w:rFonts w:hint="eastAsia" w:ascii="宋体" w:hAnsi="宋体" w:cs="宋体"/>
          <w:sz w:val="24"/>
        </w:rPr>
        <w:t>、乙方向甲方提供设备详细技术、维修及使用资料。</w:t>
      </w:r>
    </w:p>
    <w:p>
      <w:pPr>
        <w:adjustRightInd w:val="0"/>
        <w:snapToGrid w:val="0"/>
        <w:spacing w:line="480" w:lineRule="auto"/>
        <w:ind w:firstLine="480"/>
        <w:rPr>
          <w:rFonts w:ascii="宋体"/>
          <w:sz w:val="24"/>
        </w:rPr>
      </w:pPr>
      <w:r>
        <w:rPr>
          <w:rFonts w:ascii="宋体" w:hAnsi="宋体" w:cs="宋体"/>
          <w:sz w:val="24"/>
        </w:rPr>
        <w:t>3</w:t>
      </w:r>
      <w:r>
        <w:rPr>
          <w:rFonts w:hint="eastAsia" w:ascii="宋体" w:hAnsi="宋体" w:cs="宋体"/>
          <w:sz w:val="24"/>
        </w:rPr>
        <w:t>、软件免费升级和使用。</w:t>
      </w:r>
    </w:p>
    <w:p>
      <w:pPr>
        <w:adjustRightInd w:val="0"/>
        <w:snapToGrid w:val="0"/>
        <w:spacing w:line="480" w:lineRule="auto"/>
        <w:ind w:firstLine="561" w:firstLineChars="200"/>
        <w:rPr>
          <w:rFonts w:ascii="宋体"/>
          <w:b/>
          <w:bCs/>
          <w:sz w:val="28"/>
          <w:szCs w:val="28"/>
        </w:rPr>
      </w:pPr>
      <w:r>
        <w:rPr>
          <w:rFonts w:hint="eastAsia" w:ascii="宋体" w:hAnsi="宋体" w:cs="宋体"/>
          <w:b/>
          <w:bCs/>
          <w:sz w:val="28"/>
          <w:szCs w:val="28"/>
        </w:rPr>
        <w:t>六、专利权</w:t>
      </w:r>
    </w:p>
    <w:p>
      <w:pPr>
        <w:adjustRightInd w:val="0"/>
        <w:snapToGrid w:val="0"/>
        <w:spacing w:line="480" w:lineRule="auto"/>
        <w:ind w:firstLine="480"/>
        <w:rPr>
          <w:rFonts w:ascii="宋体"/>
          <w:sz w:val="24"/>
        </w:rPr>
      </w:pPr>
      <w:r>
        <w:rPr>
          <w:rFonts w:hint="eastAsia" w:ascii="宋体" w:hAnsi="宋体" w:cs="宋体"/>
          <w:sz w:val="24"/>
        </w:rPr>
        <w:t>乙方应保证甲方在使用其所提供的产品时免受第三方提出侵犯其专利权、商标权或保护期的起诉。</w:t>
      </w:r>
    </w:p>
    <w:p>
      <w:pPr>
        <w:numPr>
          <w:ilvl w:val="0"/>
          <w:numId w:val="1"/>
        </w:numPr>
        <w:adjustRightInd w:val="0"/>
        <w:snapToGrid w:val="0"/>
        <w:spacing w:line="480" w:lineRule="auto"/>
        <w:ind w:firstLine="561" w:firstLineChars="200"/>
        <w:rPr>
          <w:rFonts w:ascii="宋体"/>
          <w:b/>
          <w:bCs/>
          <w:sz w:val="28"/>
          <w:szCs w:val="28"/>
        </w:rPr>
      </w:pPr>
      <w:r>
        <w:rPr>
          <w:rFonts w:hint="eastAsia" w:ascii="宋体" w:hAnsi="宋体" w:cs="宋体"/>
          <w:b/>
          <w:bCs/>
          <w:sz w:val="28"/>
          <w:szCs w:val="28"/>
        </w:rPr>
        <w:t>免税</w:t>
      </w:r>
    </w:p>
    <w:p>
      <w:pPr>
        <w:adjustRightInd w:val="0"/>
        <w:snapToGrid w:val="0"/>
        <w:spacing w:line="480" w:lineRule="auto"/>
        <w:rPr>
          <w:rFonts w:ascii="宋体"/>
          <w:sz w:val="24"/>
        </w:rPr>
      </w:pPr>
      <w:r>
        <w:rPr>
          <w:rFonts w:ascii="宋体" w:hAnsi="宋体" w:cs="宋体"/>
          <w:b/>
          <w:bCs/>
          <w:sz w:val="28"/>
          <w:szCs w:val="28"/>
        </w:rPr>
        <w:t xml:space="preserve">  </w:t>
      </w:r>
      <w:r>
        <w:rPr>
          <w:rFonts w:ascii="宋体" w:hAnsi="宋体" w:cs="宋体"/>
          <w:sz w:val="24"/>
        </w:rPr>
        <w:t xml:space="preserve"> 1</w:t>
      </w:r>
      <w:r>
        <w:rPr>
          <w:rFonts w:hint="eastAsia" w:ascii="宋体" w:hAnsi="宋体" w:cs="宋体"/>
          <w:sz w:val="24"/>
        </w:rPr>
        <w:t>、属于进口产品，用于教学和科研使用的，中标价为免税价格。</w:t>
      </w:r>
    </w:p>
    <w:p>
      <w:pPr>
        <w:adjustRightInd w:val="0"/>
        <w:snapToGrid w:val="0"/>
        <w:spacing w:line="480" w:lineRule="auto"/>
        <w:rPr>
          <w:rFonts w:ascii="宋体"/>
          <w:sz w:val="24"/>
        </w:rPr>
      </w:pPr>
      <w:r>
        <w:rPr>
          <w:rFonts w:ascii="宋体" w:hAnsi="宋体" w:cs="宋体"/>
          <w:sz w:val="24"/>
        </w:rPr>
        <w:t xml:space="preserve">  </w:t>
      </w:r>
      <w:r>
        <w:rPr>
          <w:rFonts w:hint="eastAsia" w:ascii="宋体" w:hAnsi="宋体" w:cs="宋体"/>
          <w:sz w:val="24"/>
        </w:rPr>
        <w:t xml:space="preserve"> </w:t>
      </w:r>
      <w:r>
        <w:rPr>
          <w:rFonts w:ascii="宋体" w:hAnsi="宋体" w:cs="宋体"/>
          <w:sz w:val="24"/>
        </w:rPr>
        <w:t>2</w:t>
      </w:r>
      <w:r>
        <w:rPr>
          <w:rFonts w:hint="eastAsia" w:ascii="宋体" w:hAnsi="宋体" w:cs="宋体"/>
          <w:sz w:val="24"/>
        </w:rPr>
        <w:t>、免税产品应由甲乙双方依据海关的要求签订委托进口代理协议，确认甲乙双方的责任与义务。委托进口代理协议作为本合同的不可分割部分。</w:t>
      </w:r>
    </w:p>
    <w:p>
      <w:pPr>
        <w:adjustRightInd w:val="0"/>
        <w:snapToGrid w:val="0"/>
        <w:spacing w:line="480" w:lineRule="auto"/>
        <w:rPr>
          <w:rFonts w:ascii="宋体"/>
          <w:sz w:val="24"/>
        </w:rPr>
      </w:pPr>
      <w:r>
        <w:rPr>
          <w:rFonts w:ascii="宋体" w:hAnsi="宋体" w:cs="宋体"/>
          <w:sz w:val="24"/>
        </w:rPr>
        <w:t xml:space="preserve">  </w:t>
      </w:r>
      <w:r>
        <w:rPr>
          <w:rFonts w:hint="eastAsia" w:ascii="宋体" w:hAnsi="宋体" w:cs="宋体"/>
          <w:sz w:val="24"/>
        </w:rPr>
        <w:t xml:space="preserve"> </w:t>
      </w:r>
      <w:r>
        <w:rPr>
          <w:rFonts w:ascii="宋体" w:hAnsi="宋体" w:cs="宋体"/>
          <w:sz w:val="24"/>
        </w:rPr>
        <w:t>3</w:t>
      </w:r>
      <w:r>
        <w:rPr>
          <w:rFonts w:hint="eastAsia" w:ascii="宋体" w:hAnsi="宋体" w:cs="宋体"/>
          <w:sz w:val="24"/>
        </w:rPr>
        <w:t>、免税产品通关时乙方必须进行商检，未商检的，造成的损失由乙方承担。</w:t>
      </w:r>
    </w:p>
    <w:p>
      <w:pPr>
        <w:adjustRightInd w:val="0"/>
        <w:snapToGrid w:val="0"/>
        <w:spacing w:line="480" w:lineRule="auto"/>
        <w:ind w:firstLine="561" w:firstLineChars="200"/>
        <w:rPr>
          <w:rFonts w:ascii="宋体"/>
          <w:b/>
          <w:bCs/>
          <w:sz w:val="28"/>
          <w:szCs w:val="28"/>
        </w:rPr>
      </w:pPr>
      <w:r>
        <w:rPr>
          <w:rFonts w:hint="eastAsia" w:ascii="宋体" w:hAnsi="宋体" w:cs="宋体"/>
          <w:b/>
          <w:bCs/>
          <w:sz w:val="28"/>
          <w:szCs w:val="28"/>
        </w:rPr>
        <w:t>八、交货时间、地点与方式</w:t>
      </w:r>
    </w:p>
    <w:p>
      <w:pPr>
        <w:adjustRightInd w:val="0"/>
        <w:snapToGrid w:val="0"/>
        <w:spacing w:line="480" w:lineRule="auto"/>
        <w:ind w:firstLine="480" w:firstLineChars="200"/>
        <w:rPr>
          <w:rFonts w:ascii="宋体"/>
          <w:sz w:val="24"/>
        </w:rPr>
      </w:pPr>
      <w:r>
        <w:rPr>
          <w:rFonts w:ascii="宋体" w:hAnsi="宋体" w:cs="宋体"/>
          <w:sz w:val="24"/>
        </w:rPr>
        <w:t>1</w:t>
      </w:r>
      <w:r>
        <w:rPr>
          <w:rFonts w:hint="eastAsia" w:ascii="宋体" w:hAnsi="宋体" w:cs="宋体"/>
          <w:sz w:val="24"/>
        </w:rPr>
        <w:t>、乙方于</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default" w:ascii="宋体" w:hAnsi="宋体" w:cs="宋体"/>
          <w:sz w:val="24"/>
          <w:u w:val="single"/>
          <w:lang w:eastAsia="zh-CN"/>
        </w:rPr>
        <w:t>2021</w:t>
      </w:r>
      <w:r>
        <w:rPr>
          <w:rFonts w:hint="eastAsia" w:ascii="宋体" w:hAnsi="宋体" w:cs="宋体"/>
          <w:sz w:val="24"/>
          <w:u w:val="single"/>
          <w:lang w:val="en-US" w:eastAsia="zh-CN"/>
        </w:rPr>
        <w:t xml:space="preserve">  </w:t>
      </w:r>
      <w:r>
        <w:rPr>
          <w:rFonts w:hint="eastAsia" w:ascii="宋体" w:hAnsi="宋体" w:cs="宋体"/>
          <w:bCs/>
          <w:sz w:val="24"/>
          <w:u w:val="none"/>
        </w:rPr>
        <w:t>年</w:t>
      </w:r>
      <w:r>
        <w:rPr>
          <w:rFonts w:hint="eastAsia" w:ascii="宋体" w:hAnsi="宋体" w:cs="宋体"/>
          <w:bCs/>
          <w:sz w:val="24"/>
          <w:u w:val="single"/>
        </w:rPr>
        <w:t xml:space="preserve"> </w:t>
      </w:r>
      <w:r>
        <w:rPr>
          <w:rFonts w:hint="default" w:ascii="宋体" w:hAnsi="宋体" w:cs="宋体"/>
          <w:bCs/>
          <w:sz w:val="24"/>
          <w:u w:val="single"/>
          <w:lang w:eastAsia="zh-CN"/>
        </w:rPr>
        <w:t>12</w:t>
      </w:r>
      <w:r>
        <w:rPr>
          <w:rFonts w:ascii="宋体" w:hAnsi="宋体" w:cs="宋体"/>
          <w:bCs/>
          <w:sz w:val="24"/>
          <w:u w:val="single"/>
        </w:rPr>
        <w:t xml:space="preserve"> </w:t>
      </w:r>
      <w:r>
        <w:rPr>
          <w:rFonts w:hint="eastAsia" w:ascii="宋体" w:hAnsi="宋体" w:cs="宋体"/>
          <w:bCs/>
          <w:sz w:val="24"/>
          <w:u w:val="none"/>
        </w:rPr>
        <w:t>月</w:t>
      </w:r>
      <w:r>
        <w:rPr>
          <w:rFonts w:ascii="宋体" w:hAnsi="宋体" w:cs="宋体"/>
          <w:bCs/>
          <w:sz w:val="24"/>
          <w:u w:val="single"/>
        </w:rPr>
        <w:t xml:space="preserve"> </w:t>
      </w:r>
      <w:r>
        <w:rPr>
          <w:rFonts w:hint="eastAsia" w:ascii="宋体" w:hAnsi="宋体" w:cs="宋体"/>
          <w:bCs/>
          <w:sz w:val="24"/>
          <w:u w:val="single"/>
          <w:lang w:val="en-US" w:eastAsia="zh-CN"/>
        </w:rPr>
        <w:t xml:space="preserve"> </w:t>
      </w:r>
      <w:r>
        <w:rPr>
          <w:rFonts w:hint="default" w:ascii="宋体" w:hAnsi="宋体" w:cs="宋体"/>
          <w:bCs/>
          <w:sz w:val="24"/>
          <w:u w:val="single"/>
          <w:lang w:eastAsia="zh-CN"/>
        </w:rPr>
        <w:t>23</w:t>
      </w:r>
      <w:r>
        <w:rPr>
          <w:rFonts w:hint="eastAsia" w:ascii="宋体" w:hAnsi="宋体" w:cs="宋体"/>
          <w:bCs/>
          <w:sz w:val="24"/>
          <w:u w:val="single"/>
          <w:lang w:val="en-US" w:eastAsia="zh-CN"/>
        </w:rPr>
        <w:t xml:space="preserve"> </w:t>
      </w:r>
      <w:r>
        <w:rPr>
          <w:rFonts w:ascii="宋体" w:hAnsi="宋体" w:cs="宋体"/>
          <w:bCs/>
          <w:sz w:val="24"/>
          <w:u w:val="single"/>
        </w:rPr>
        <w:t xml:space="preserve"> </w:t>
      </w:r>
      <w:r>
        <w:rPr>
          <w:rFonts w:hint="eastAsia" w:ascii="宋体" w:hAnsi="宋体" w:cs="宋体"/>
          <w:bCs/>
          <w:sz w:val="24"/>
          <w:u w:val="none"/>
        </w:rPr>
        <w:t>日</w:t>
      </w:r>
      <w:r>
        <w:rPr>
          <w:rFonts w:hint="eastAsia" w:ascii="宋体" w:hAnsi="宋体" w:cs="宋体"/>
          <w:sz w:val="24"/>
        </w:rPr>
        <w:t>之前将货物按甲方要求在甲方指定地点交货、安装、调试完毕，并具备使用条件，未经甲方允许每推迟一天，按合同总额的千分之五扣除违约金。</w:t>
      </w:r>
    </w:p>
    <w:p>
      <w:pPr>
        <w:adjustRightInd w:val="0"/>
        <w:snapToGrid w:val="0"/>
        <w:spacing w:line="480" w:lineRule="auto"/>
        <w:ind w:firstLine="480" w:firstLineChars="200"/>
        <w:rPr>
          <w:rFonts w:ascii="宋体"/>
          <w:sz w:val="24"/>
        </w:rPr>
      </w:pPr>
      <w:r>
        <w:rPr>
          <w:rFonts w:ascii="宋体" w:hAnsi="宋体" w:cs="宋体"/>
          <w:sz w:val="24"/>
        </w:rPr>
        <w:t>2</w:t>
      </w:r>
      <w:r>
        <w:rPr>
          <w:rFonts w:hint="eastAsia" w:ascii="宋体" w:hAnsi="宋体" w:cs="宋体"/>
          <w:sz w:val="24"/>
        </w:rPr>
        <w:t>、乙方负责所供货物的包装、运输、安装和调试，并承担所发生的费用；甲方为乙方现场安装提供水、电等便利条件。</w:t>
      </w:r>
    </w:p>
    <w:p>
      <w:pPr>
        <w:adjustRightInd w:val="0"/>
        <w:snapToGrid w:val="0"/>
        <w:spacing w:line="480" w:lineRule="auto"/>
        <w:ind w:firstLine="480" w:firstLineChars="200"/>
        <w:rPr>
          <w:rFonts w:ascii="宋体"/>
          <w:sz w:val="24"/>
        </w:rPr>
      </w:pPr>
      <w:r>
        <w:rPr>
          <w:rFonts w:ascii="宋体" w:hAnsi="宋体" w:cs="宋体"/>
          <w:sz w:val="24"/>
        </w:rPr>
        <w:t>3</w:t>
      </w:r>
      <w:r>
        <w:rPr>
          <w:rFonts w:hint="eastAsia" w:ascii="宋体" w:hAnsi="宋体" w:cs="宋体"/>
          <w:sz w:val="24"/>
        </w:rPr>
        <w:t>、安装过程中若发生安全事故由乙方承担。</w:t>
      </w:r>
    </w:p>
    <w:p>
      <w:pPr>
        <w:adjustRightInd w:val="0"/>
        <w:snapToGrid w:val="0"/>
        <w:spacing w:line="480" w:lineRule="auto"/>
        <w:ind w:firstLine="480" w:firstLineChars="200"/>
        <w:rPr>
          <w:rFonts w:ascii="宋体"/>
          <w:sz w:val="24"/>
        </w:rPr>
      </w:pPr>
      <w:r>
        <w:rPr>
          <w:rFonts w:ascii="宋体" w:hAnsi="宋体" w:cs="宋体"/>
          <w:sz w:val="24"/>
        </w:rPr>
        <w:t>4</w:t>
      </w:r>
      <w:r>
        <w:rPr>
          <w:rFonts w:hint="eastAsia" w:ascii="宋体" w:hAnsi="宋体" w:cs="宋体"/>
          <w:sz w:val="24"/>
        </w:rPr>
        <w:t>、乙方安装人员应服从甲方的管理，遵守国家法律法规和学校相关制度，否则一切后果均由乙方承担。</w:t>
      </w:r>
    </w:p>
    <w:p>
      <w:pPr>
        <w:adjustRightInd w:val="0"/>
        <w:snapToGrid w:val="0"/>
        <w:spacing w:line="480" w:lineRule="auto"/>
        <w:ind w:firstLine="480" w:firstLineChars="200"/>
        <w:rPr>
          <w:rFonts w:ascii="宋体"/>
          <w:sz w:val="24"/>
        </w:rPr>
      </w:pPr>
      <w:r>
        <w:rPr>
          <w:rFonts w:ascii="宋体" w:hAnsi="宋体" w:cs="宋体"/>
          <w:sz w:val="24"/>
        </w:rPr>
        <w:t>5</w:t>
      </w:r>
      <w:r>
        <w:rPr>
          <w:rFonts w:hint="eastAsia" w:ascii="宋体" w:hAnsi="宋体" w:cs="宋体"/>
          <w:sz w:val="24"/>
        </w:rPr>
        <w:t>、货物交付使用前，乙方负责对提供货物进行看管，并承担货物的丢失、损毁等风险。</w:t>
      </w:r>
    </w:p>
    <w:p>
      <w:pPr>
        <w:adjustRightInd w:val="0"/>
        <w:snapToGrid w:val="0"/>
        <w:spacing w:line="480" w:lineRule="auto"/>
        <w:ind w:firstLine="561" w:firstLineChars="200"/>
        <w:rPr>
          <w:rFonts w:ascii="宋体"/>
          <w:b/>
          <w:bCs/>
          <w:sz w:val="28"/>
          <w:szCs w:val="28"/>
        </w:rPr>
      </w:pPr>
      <w:r>
        <w:rPr>
          <w:rFonts w:hint="eastAsia" w:ascii="宋体" w:hAnsi="宋体" w:cs="宋体"/>
          <w:b/>
          <w:bCs/>
          <w:sz w:val="28"/>
          <w:szCs w:val="28"/>
        </w:rPr>
        <w:t>九、验收方式</w:t>
      </w:r>
    </w:p>
    <w:p>
      <w:pPr>
        <w:adjustRightInd w:val="0"/>
        <w:snapToGrid w:val="0"/>
        <w:spacing w:line="480" w:lineRule="auto"/>
        <w:ind w:firstLine="480" w:firstLineChars="200"/>
        <w:rPr>
          <w:rFonts w:ascii="宋体" w:hAnsi="宋体" w:cs="宋体"/>
          <w:sz w:val="24"/>
        </w:rPr>
      </w:pPr>
      <w:r>
        <w:rPr>
          <w:rFonts w:ascii="宋体" w:hAnsi="宋体" w:cs="宋体"/>
          <w:sz w:val="24"/>
        </w:rPr>
        <w:t>1</w:t>
      </w:r>
      <w:r>
        <w:rPr>
          <w:rFonts w:hint="eastAsia" w:ascii="宋体" w:hAnsi="宋体" w:cs="宋体"/>
          <w:sz w:val="24"/>
        </w:rPr>
        <w:t>、甲方按合同所列质量标准、规格型号、技术参数以及数量等在现场验收，并填写验收单（详见附件</w:t>
      </w:r>
      <w:r>
        <w:rPr>
          <w:rFonts w:ascii="宋体" w:hAnsi="宋体" w:cs="宋体"/>
          <w:sz w:val="24"/>
        </w:rPr>
        <w:t>4</w:t>
      </w:r>
      <w:r>
        <w:rPr>
          <w:rFonts w:hint="eastAsia" w:ascii="宋体" w:hAnsi="宋体" w:cs="宋体"/>
          <w:sz w:val="24"/>
        </w:rPr>
        <w:t>）。验收时，甲方有权提出采用技术和破坏相结合的方法进行</w:t>
      </w:r>
      <w:r>
        <w:rPr>
          <w:rFonts w:ascii="宋体" w:hAnsi="宋体" w:cs="宋体"/>
          <w:sz w:val="24"/>
        </w:rPr>
        <w:t>验收</w:t>
      </w:r>
      <w:r>
        <w:rPr>
          <w:rFonts w:hint="eastAsia" w:ascii="宋体" w:hAnsi="宋体" w:cs="宋体"/>
          <w:sz w:val="24"/>
        </w:rPr>
        <w:t>。</w:t>
      </w:r>
    </w:p>
    <w:p>
      <w:pPr>
        <w:adjustRightInd w:val="0"/>
        <w:snapToGrid w:val="0"/>
        <w:spacing w:line="480" w:lineRule="auto"/>
        <w:ind w:firstLine="480" w:firstLineChars="200"/>
        <w:rPr>
          <w:rFonts w:ascii="宋体"/>
          <w:sz w:val="24"/>
        </w:rPr>
      </w:pPr>
      <w:r>
        <w:rPr>
          <w:rFonts w:hint="eastAsia" w:ascii="宋体" w:hAnsi="宋体" w:cs="宋体"/>
          <w:sz w:val="24"/>
        </w:rPr>
        <w:t>乙方应向甲方移交所供设备完整的使用说明书、合格证及相关资料。乙方在所有设备（工程）安装调试、软件安装完毕后，开展现场培训，使用户能够独立熟练操作使用仪器或设备，而后由供需双方共同初步验收；甲乙双方如产生异议，由第三方重新进行验收。如果乙方提供的货物与合同不符，甲方有权拒绝验收，由此所产生的一切费用由乙方承担。</w:t>
      </w:r>
    </w:p>
    <w:p>
      <w:pPr>
        <w:adjustRightInd w:val="0"/>
        <w:snapToGrid w:val="0"/>
        <w:spacing w:line="480" w:lineRule="auto"/>
        <w:ind w:left="480"/>
        <w:rPr>
          <w:rFonts w:hint="eastAsia" w:ascii="宋体" w:hAnsi="宋体" w:cs="宋体"/>
          <w:sz w:val="24"/>
        </w:rPr>
      </w:pPr>
      <w:r>
        <w:rPr>
          <w:rFonts w:hint="eastAsia" w:ascii="宋体" w:hAnsi="宋体" w:cs="宋体"/>
          <w:b/>
          <w:bCs/>
          <w:sz w:val="28"/>
          <w:szCs w:val="28"/>
        </w:rPr>
        <w:t>十、付款方式</w:t>
      </w:r>
    </w:p>
    <w:p>
      <w:pPr>
        <w:adjustRightInd w:val="0"/>
        <w:snapToGrid w:val="0"/>
        <w:spacing w:line="480" w:lineRule="auto"/>
        <w:ind w:left="480"/>
        <w:rPr>
          <w:rFonts w:hint="eastAsia" w:ascii="宋体" w:hAnsi="宋体" w:eastAsia="宋体" w:cs="宋体"/>
          <w:b w:val="0"/>
          <w:bCs w:val="0"/>
          <w:sz w:val="24"/>
        </w:rPr>
      </w:pPr>
      <w:r>
        <w:rPr>
          <w:rFonts w:hint="eastAsia" w:ascii="宋体" w:hAnsi="宋体" w:eastAsia="宋体" w:cs="宋体"/>
          <w:sz w:val="24"/>
        </w:rPr>
        <w:t>1、本合同总价款（大写）为</w:t>
      </w:r>
      <w:r>
        <w:rPr>
          <w:rFonts w:hint="eastAsia" w:ascii="宋体" w:hAnsi="宋体" w:cs="宋体"/>
          <w:sz w:val="24"/>
          <w:u w:val="single"/>
          <w:lang w:val="en-US" w:eastAsia="zh-Hans"/>
        </w:rPr>
        <w:t>肆拾柒万玖仟捌佰</w:t>
      </w:r>
      <w:r>
        <w:rPr>
          <w:rFonts w:hint="eastAsia" w:ascii="宋体" w:hAnsi="宋体" w:eastAsia="宋体" w:cs="宋体"/>
          <w:kern w:val="2"/>
          <w:sz w:val="24"/>
          <w:szCs w:val="24"/>
          <w:u w:val="single"/>
          <w:lang w:val="en-US" w:eastAsia="zh-Hans"/>
        </w:rPr>
        <w:t>圆整</w:t>
      </w:r>
      <w:r>
        <w:rPr>
          <w:rFonts w:hint="eastAsia" w:ascii="宋体" w:hAnsi="宋体" w:eastAsia="宋体" w:cs="宋体"/>
          <w:b w:val="0"/>
          <w:bCs w:val="0"/>
          <w:sz w:val="24"/>
        </w:rPr>
        <w:t>（</w:t>
      </w:r>
      <w:r>
        <w:rPr>
          <w:rFonts w:hint="eastAsia" w:ascii="宋体" w:hAnsi="宋体" w:eastAsia="宋体" w:cs="宋体"/>
          <w:b w:val="0"/>
          <w:bCs w:val="0"/>
          <w:sz w:val="24"/>
          <w:u w:val="single"/>
        </w:rPr>
        <w:t>小写￥</w:t>
      </w:r>
      <w:r>
        <w:rPr>
          <w:rFonts w:hint="default" w:ascii="宋体" w:hAnsi="宋体" w:cs="宋体"/>
          <w:sz w:val="24"/>
          <w:szCs w:val="24"/>
          <w:u w:val="single"/>
          <w:lang w:eastAsia="zh-Hans"/>
        </w:rPr>
        <w:t>479800</w:t>
      </w:r>
      <w:r>
        <w:rPr>
          <w:rFonts w:hint="eastAsia" w:ascii="宋体" w:hAnsi="宋体" w:eastAsia="宋体" w:cs="宋体"/>
          <w:b w:val="0"/>
          <w:bCs w:val="0"/>
          <w:sz w:val="24"/>
          <w:u w:val="single"/>
        </w:rPr>
        <w:t>元</w:t>
      </w:r>
      <w:r>
        <w:rPr>
          <w:rFonts w:hint="eastAsia" w:ascii="宋体" w:hAnsi="宋体" w:eastAsia="宋体" w:cs="宋体"/>
          <w:b w:val="0"/>
          <w:bCs w:val="0"/>
          <w:sz w:val="24"/>
        </w:rPr>
        <w:t>）。</w:t>
      </w:r>
    </w:p>
    <w:p>
      <w:pPr>
        <w:adjustRightInd w:val="0"/>
        <w:snapToGrid w:val="0"/>
        <w:spacing w:line="480" w:lineRule="auto"/>
        <w:ind w:firstLine="480" w:firstLineChars="200"/>
        <w:rPr>
          <w:rFonts w:hint="eastAsia" w:ascii="宋体" w:hAnsi="宋体" w:eastAsia="宋体" w:cs="宋体"/>
          <w:b w:val="0"/>
          <w:bCs w:val="0"/>
          <w:sz w:val="24"/>
        </w:rPr>
      </w:pPr>
      <w:r>
        <w:rPr>
          <w:rFonts w:hint="eastAsia" w:ascii="宋体" w:hAnsi="宋体" w:eastAsia="宋体" w:cs="宋体"/>
          <w:b w:val="0"/>
          <w:bCs w:val="0"/>
          <w:sz w:val="24"/>
        </w:rPr>
        <w:t>2、付款方式：货物验收合格后，经审计后，甲方向乙方支付全部货款的95％即人民币</w:t>
      </w:r>
      <w:r>
        <w:rPr>
          <w:rFonts w:hint="eastAsia" w:ascii="宋体" w:hAnsi="宋体" w:eastAsia="宋体" w:cs="宋体"/>
          <w:b w:val="0"/>
          <w:bCs w:val="0"/>
          <w:kern w:val="0"/>
          <w:sz w:val="24"/>
          <w:u w:val="single"/>
        </w:rPr>
        <w:t xml:space="preserve"> </w:t>
      </w:r>
      <w:r>
        <w:rPr>
          <w:rFonts w:hint="eastAsia" w:ascii="宋体" w:hAnsi="宋体" w:cs="宋体"/>
          <w:b w:val="0"/>
          <w:bCs w:val="0"/>
          <w:kern w:val="0"/>
          <w:sz w:val="24"/>
          <w:u w:val="single"/>
          <w:lang w:val="en-US" w:eastAsia="zh-Hans"/>
        </w:rPr>
        <w:t>肆拾伍万伍仟捌佰壹拾圆</w:t>
      </w:r>
      <w:r>
        <w:rPr>
          <w:rFonts w:hint="eastAsia" w:ascii="宋体" w:hAnsi="宋体" w:eastAsia="宋体" w:cs="宋体"/>
          <w:b w:val="0"/>
          <w:bCs w:val="0"/>
          <w:sz w:val="24"/>
        </w:rPr>
        <w:t>整（小写：</w:t>
      </w:r>
      <w:r>
        <w:rPr>
          <w:rFonts w:hint="eastAsia" w:ascii="宋体" w:hAnsi="宋体" w:eastAsia="宋体" w:cs="宋体"/>
          <w:b w:val="0"/>
          <w:bCs w:val="0"/>
          <w:sz w:val="24"/>
          <w:u w:val="single"/>
        </w:rPr>
        <w:t>￥</w:t>
      </w:r>
      <w:r>
        <w:rPr>
          <w:rFonts w:hint="default" w:ascii="宋体" w:hAnsi="宋体" w:cs="宋体"/>
          <w:b w:val="0"/>
          <w:bCs w:val="0"/>
          <w:sz w:val="24"/>
          <w:u w:val="single"/>
        </w:rPr>
        <w:t>455810</w:t>
      </w:r>
      <w:r>
        <w:rPr>
          <w:rFonts w:hint="eastAsia" w:ascii="宋体" w:hAnsi="宋体" w:eastAsia="宋体" w:cs="宋体"/>
          <w:b w:val="0"/>
          <w:bCs w:val="0"/>
          <w:sz w:val="24"/>
          <w:u w:val="single"/>
        </w:rPr>
        <w:t>元</w:t>
      </w:r>
      <w:r>
        <w:rPr>
          <w:rFonts w:hint="eastAsia" w:ascii="宋体" w:hAnsi="宋体" w:eastAsia="宋体" w:cs="宋体"/>
          <w:b w:val="0"/>
          <w:bCs w:val="0"/>
          <w:sz w:val="24"/>
        </w:rPr>
        <w:t>），质保期满后，甲方向乙方支付剩余的全部货款即人民币</w:t>
      </w:r>
      <w:r>
        <w:rPr>
          <w:rFonts w:hint="eastAsia" w:ascii="宋体" w:hAnsi="宋体" w:eastAsia="宋体" w:cs="宋体"/>
          <w:b w:val="0"/>
          <w:bCs w:val="0"/>
          <w:kern w:val="0"/>
          <w:sz w:val="24"/>
          <w:u w:val="single"/>
        </w:rPr>
        <w:t xml:space="preserve"> </w:t>
      </w:r>
      <w:r>
        <w:rPr>
          <w:rFonts w:hint="eastAsia" w:ascii="宋体" w:hAnsi="宋体" w:cs="宋体"/>
          <w:b w:val="0"/>
          <w:bCs w:val="0"/>
          <w:kern w:val="0"/>
          <w:sz w:val="24"/>
          <w:u w:val="single"/>
          <w:lang w:val="en-US" w:eastAsia="zh-Hans"/>
        </w:rPr>
        <w:t>贰万叁仟玖佰玖拾</w:t>
      </w:r>
      <w:r>
        <w:rPr>
          <w:rFonts w:hint="eastAsia" w:ascii="宋体" w:hAnsi="宋体" w:eastAsia="宋体" w:cs="宋体"/>
          <w:b w:val="0"/>
          <w:bCs w:val="0"/>
          <w:kern w:val="0"/>
          <w:sz w:val="24"/>
          <w:u w:val="single"/>
        </w:rPr>
        <w:t xml:space="preserve"> </w:t>
      </w:r>
      <w:r>
        <w:rPr>
          <w:rFonts w:hint="eastAsia" w:ascii="宋体" w:hAnsi="宋体" w:eastAsia="宋体" w:cs="宋体"/>
          <w:b w:val="0"/>
          <w:bCs w:val="0"/>
          <w:sz w:val="24"/>
        </w:rPr>
        <w:t>元整（小写：￥</w:t>
      </w:r>
      <w:r>
        <w:rPr>
          <w:rFonts w:hint="default" w:ascii="宋体" w:hAnsi="宋体" w:cs="宋体"/>
          <w:b w:val="0"/>
          <w:bCs w:val="0"/>
          <w:kern w:val="0"/>
          <w:sz w:val="24"/>
          <w:u w:val="single"/>
          <w:lang w:eastAsia="zh-CN"/>
        </w:rPr>
        <w:t>23990</w:t>
      </w:r>
      <w:r>
        <w:rPr>
          <w:rFonts w:hint="eastAsia" w:ascii="宋体" w:hAnsi="宋体" w:eastAsia="宋体" w:cs="宋体"/>
          <w:b w:val="0"/>
          <w:bCs w:val="0"/>
          <w:sz w:val="24"/>
        </w:rPr>
        <w:t>元）。</w:t>
      </w:r>
    </w:p>
    <w:p>
      <w:pPr>
        <w:adjustRightInd w:val="0"/>
        <w:snapToGrid w:val="0"/>
        <w:spacing w:line="480" w:lineRule="auto"/>
        <w:ind w:firstLine="561" w:firstLineChars="200"/>
        <w:rPr>
          <w:rFonts w:ascii="宋体" w:hAnsi="宋体" w:cs="宋体"/>
          <w:b/>
          <w:bCs/>
          <w:sz w:val="28"/>
          <w:szCs w:val="28"/>
        </w:rPr>
      </w:pPr>
      <w:r>
        <w:rPr>
          <w:rFonts w:hint="eastAsia" w:ascii="宋体" w:hAnsi="宋体" w:cs="宋体"/>
          <w:b/>
          <w:bCs/>
          <w:sz w:val="28"/>
          <w:szCs w:val="28"/>
        </w:rPr>
        <w:t>十一</w:t>
      </w:r>
      <w:r>
        <w:rPr>
          <w:rFonts w:ascii="宋体" w:hAnsi="宋体" w:cs="宋体"/>
          <w:b/>
          <w:bCs/>
          <w:sz w:val="28"/>
          <w:szCs w:val="28"/>
        </w:rPr>
        <w:t>、履约担保</w:t>
      </w:r>
    </w:p>
    <w:p>
      <w:pPr>
        <w:adjustRightInd w:val="0"/>
        <w:snapToGrid w:val="0"/>
        <w:spacing w:line="480" w:lineRule="auto"/>
        <w:ind w:firstLine="480" w:firstLineChars="200"/>
        <w:rPr>
          <w:rFonts w:ascii="宋体" w:hAnsi="宋体" w:cs="宋体"/>
          <w:sz w:val="24"/>
        </w:rPr>
      </w:pPr>
      <w:r>
        <w:rPr>
          <w:rFonts w:hint="eastAsia" w:ascii="宋体" w:hAnsi="宋体" w:cs="宋体"/>
          <w:sz w:val="24"/>
        </w:rPr>
        <w:t>乙方向甲方以转帐的方式提供合同总额5%的履约保证金。履约担保金</w:t>
      </w:r>
      <w:r>
        <w:rPr>
          <w:rFonts w:ascii="宋体" w:hAnsi="宋体" w:cs="宋体"/>
          <w:sz w:val="24"/>
        </w:rPr>
        <w:t>在签订合同前交学校财务</w:t>
      </w:r>
      <w:r>
        <w:rPr>
          <w:rFonts w:hint="eastAsia" w:ascii="宋体" w:hAnsi="宋体" w:cs="宋体"/>
          <w:sz w:val="24"/>
        </w:rPr>
        <w:t>处</w:t>
      </w:r>
      <w:r>
        <w:rPr>
          <w:rFonts w:ascii="宋体" w:hAnsi="宋体" w:cs="宋体"/>
          <w:sz w:val="24"/>
        </w:rPr>
        <w:t>，</w:t>
      </w:r>
      <w:r>
        <w:rPr>
          <w:rFonts w:hint="eastAsia" w:ascii="宋体" w:hAnsi="宋体" w:cs="宋体"/>
          <w:sz w:val="24"/>
        </w:rPr>
        <w:t>货物验收合格，正式交付</w:t>
      </w:r>
      <w:r>
        <w:rPr>
          <w:rFonts w:ascii="宋体" w:hAnsi="宋体" w:cs="宋体"/>
          <w:sz w:val="24"/>
        </w:rPr>
        <w:t>使用</w:t>
      </w:r>
      <w:r>
        <w:rPr>
          <w:rFonts w:hint="eastAsia" w:ascii="宋体" w:hAnsi="宋体" w:cs="宋体"/>
          <w:sz w:val="24"/>
        </w:rPr>
        <w:t>后予以退还</w:t>
      </w:r>
      <w:r>
        <w:rPr>
          <w:rFonts w:ascii="宋体" w:hAnsi="宋体" w:cs="宋体"/>
          <w:sz w:val="24"/>
        </w:rPr>
        <w:t>。</w:t>
      </w:r>
    </w:p>
    <w:p>
      <w:pPr>
        <w:adjustRightInd w:val="0"/>
        <w:snapToGrid w:val="0"/>
        <w:spacing w:line="480" w:lineRule="auto"/>
        <w:ind w:firstLine="561" w:firstLineChars="200"/>
        <w:rPr>
          <w:rFonts w:ascii="宋体"/>
          <w:b/>
          <w:bCs/>
          <w:sz w:val="28"/>
          <w:szCs w:val="28"/>
        </w:rPr>
      </w:pPr>
      <w:r>
        <w:rPr>
          <w:rFonts w:hint="eastAsia" w:ascii="宋体" w:hAnsi="宋体" w:cs="宋体"/>
          <w:b/>
          <w:bCs/>
          <w:sz w:val="28"/>
          <w:szCs w:val="28"/>
        </w:rPr>
        <w:t>十二、违约责任</w:t>
      </w:r>
    </w:p>
    <w:p>
      <w:pPr>
        <w:keepNext w:val="0"/>
        <w:keepLines w:val="0"/>
        <w:pageBreakBefore w:val="0"/>
        <w:widowControl w:val="0"/>
        <w:kinsoku/>
        <w:overflowPunct/>
        <w:topLinePunct w:val="0"/>
        <w:bidi w:val="0"/>
        <w:snapToGrid w:val="0"/>
        <w:spacing w:line="480" w:lineRule="auto"/>
        <w:ind w:right="0" w:rightChars="0"/>
        <w:jc w:val="center"/>
        <w:textAlignment w:val="auto"/>
        <w:outlineLvl w:val="9"/>
        <w:rPr>
          <w:rFonts w:hint="eastAsia" w:ascii="宋体" w:hAnsi="宋体" w:cs="宋体"/>
          <w:sz w:val="24"/>
        </w:rPr>
      </w:pPr>
      <w:r>
        <w:rPr>
          <w:rFonts w:hint="eastAsia" w:ascii="宋体" w:hAnsi="宋体" w:cs="宋体"/>
          <w:sz w:val="24"/>
        </w:rPr>
        <w:t>乙方所交的货物产地、品牌、型号、规格、质量以及技术标准、数量等不符合</w:t>
      </w:r>
    </w:p>
    <w:p>
      <w:pPr>
        <w:adjustRightInd w:val="0"/>
        <w:snapToGrid w:val="0"/>
        <w:spacing w:line="480" w:lineRule="auto"/>
        <w:rPr>
          <w:sz w:val="24"/>
        </w:rPr>
      </w:pPr>
      <w:r>
        <w:rPr>
          <w:rFonts w:hint="eastAsia" w:ascii="宋体" w:hAnsi="宋体" w:cs="宋体"/>
          <w:sz w:val="24"/>
        </w:rPr>
        <w:t>合同要求，甲方有权拒收，由此产生的一切费用由乙方负责；因货物更换而造成逾期交货，则按逾期交货处理，乙方应向甲方每天支付合同标总额日千分之五的违约金。甲</w:t>
      </w:r>
      <w:r>
        <w:rPr>
          <w:rFonts w:hint="eastAsia" w:cs="宋体"/>
          <w:sz w:val="24"/>
        </w:rPr>
        <w:t>方无正当理由拒收设备，应向供方偿付拒收设备款额百分之五的违约金。</w:t>
      </w:r>
    </w:p>
    <w:p>
      <w:pPr>
        <w:adjustRightInd w:val="0"/>
        <w:snapToGrid w:val="0"/>
        <w:spacing w:line="480" w:lineRule="auto"/>
        <w:ind w:firstLine="460" w:firstLineChars="192"/>
        <w:rPr>
          <w:rFonts w:ascii="宋体"/>
          <w:sz w:val="24"/>
        </w:rPr>
      </w:pPr>
      <w:r>
        <w:rPr>
          <w:rFonts w:hint="eastAsia" w:ascii="宋体" w:hAnsi="宋体" w:cs="宋体"/>
          <w:sz w:val="24"/>
        </w:rPr>
        <w:t>甲方逾期付款，应向乙方支付本合同标的总额的日万分之四的违约金。</w:t>
      </w:r>
    </w:p>
    <w:p>
      <w:pPr>
        <w:keepNext w:val="0"/>
        <w:keepLines w:val="0"/>
        <w:pageBreakBefore w:val="0"/>
        <w:widowControl w:val="0"/>
        <w:kinsoku/>
        <w:overflowPunct/>
        <w:topLinePunct w:val="0"/>
        <w:bidi w:val="0"/>
        <w:snapToGrid w:val="0"/>
        <w:spacing w:line="480" w:lineRule="auto"/>
        <w:ind w:right="0" w:rightChars="0"/>
        <w:jc w:val="center"/>
        <w:textAlignment w:val="auto"/>
        <w:outlineLvl w:val="9"/>
        <w:rPr>
          <w:rFonts w:ascii="宋体"/>
          <w:sz w:val="28"/>
          <w:szCs w:val="28"/>
        </w:rPr>
      </w:pPr>
      <w:r>
        <w:rPr>
          <w:rFonts w:hint="eastAsia" w:ascii="宋体" w:hAnsi="宋体" w:cs="宋体"/>
          <w:sz w:val="24"/>
        </w:rPr>
        <w:drawing>
          <wp:inline distT="0" distB="0" distL="114300" distR="114300">
            <wp:extent cx="5389245" cy="8155940"/>
            <wp:effectExtent l="0" t="0" r="20955" b="22860"/>
            <wp:docPr id="1" name="图片 1" descr="WechatIMG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194"/>
                    <pic:cNvPicPr>
                      <a:picLocks noChangeAspect="1"/>
                    </pic:cNvPicPr>
                  </pic:nvPicPr>
                  <pic:blipFill>
                    <a:blip r:embed="rId5"/>
                    <a:stretch>
                      <a:fillRect/>
                    </a:stretch>
                  </pic:blipFill>
                  <pic:spPr>
                    <a:xfrm>
                      <a:off x="0" y="0"/>
                      <a:ext cx="5389245" cy="8155940"/>
                    </a:xfrm>
                    <a:prstGeom prst="rect">
                      <a:avLst/>
                    </a:prstGeom>
                  </pic:spPr>
                </pic:pic>
              </a:graphicData>
            </a:graphic>
          </wp:inline>
        </w:drawing>
      </w:r>
      <w:r>
        <w:rPr>
          <w:b/>
          <w:bCs/>
          <w:sz w:val="24"/>
        </w:rPr>
        <w:t xml:space="preserve"> </w:t>
      </w:r>
      <w:r>
        <w:rPr>
          <w:rFonts w:ascii="宋体" w:hAnsi="宋体" w:cs="宋体"/>
          <w:b/>
          <w:bCs/>
          <w:sz w:val="28"/>
          <w:szCs w:val="28"/>
        </w:rPr>
        <w:t xml:space="preserve"> </w:t>
      </w:r>
    </w:p>
    <w:p>
      <w:pPr>
        <w:spacing w:line="360" w:lineRule="auto"/>
        <w:rPr>
          <w:rFonts w:ascii="宋体"/>
          <w:b/>
          <w:bCs/>
          <w:sz w:val="28"/>
          <w:szCs w:val="28"/>
        </w:rPr>
        <w:sectPr>
          <w:footerReference r:id="rId3" w:type="default"/>
          <w:pgSz w:w="11906" w:h="16838"/>
          <w:pgMar w:top="1418" w:right="1701" w:bottom="1418" w:left="1701" w:header="851" w:footer="992" w:gutter="0"/>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bCs/>
          <w:sz w:val="28"/>
          <w:szCs w:val="36"/>
        </w:rPr>
      </w:pPr>
      <w:r>
        <w:rPr>
          <w:rFonts w:hint="eastAsia" w:ascii="宋体" w:hAnsi="宋体" w:eastAsia="宋体" w:cs="宋体"/>
          <w:b/>
          <w:bCs/>
          <w:sz w:val="28"/>
          <w:szCs w:val="36"/>
        </w:rPr>
        <w:t xml:space="preserve">附1： </w:t>
      </w:r>
    </w:p>
    <w:p>
      <w:pPr>
        <w:keepNext w:val="0"/>
        <w:keepLines w:val="0"/>
        <w:pageBreakBefore w:val="0"/>
        <w:widowControl w:val="0"/>
        <w:kinsoku/>
        <w:wordWrap/>
        <w:overflowPunct/>
        <w:topLinePunct w:val="0"/>
        <w:autoSpaceDE/>
        <w:autoSpaceDN/>
        <w:bidi w:val="0"/>
        <w:adjustRightInd/>
        <w:snapToGrid/>
        <w:jc w:val="right"/>
        <w:textAlignment w:val="auto"/>
        <w:rPr>
          <w:rFonts w:hint="eastAsia" w:ascii="Times New Roman" w:hAnsi="Times New Roman" w:eastAsia="宋体" w:cs="Times New Roman"/>
          <w:kern w:val="1"/>
          <w:sz w:val="21"/>
          <w:szCs w:val="24"/>
          <w:lang w:val="en-US" w:eastAsia="zh-CN" w:bidi="ar-SA"/>
        </w:rPr>
      </w:pPr>
      <w:r>
        <w:rPr>
          <w:rFonts w:hint="eastAsia" w:ascii="宋体" w:hAnsi="宋体" w:eastAsia="宋体" w:cs="宋体"/>
          <w:b/>
          <w:bCs/>
          <w:sz w:val="28"/>
          <w:szCs w:val="36"/>
        </w:rPr>
        <w:t>供货范围及分项价格表</w:t>
      </w:r>
      <w:r>
        <w:rPr>
          <w:rFonts w:hint="eastAsia" w:ascii="宋体" w:hAnsi="宋体" w:eastAsia="宋体" w:cs="宋体"/>
          <w:b/>
          <w:bCs/>
          <w:sz w:val="28"/>
          <w:szCs w:val="36"/>
          <w:lang w:val="en-US" w:eastAsia="zh-CN"/>
        </w:rPr>
        <w:t xml:space="preserve">                                单位：元  </w:t>
      </w:r>
      <w:r>
        <w:rPr>
          <w:rFonts w:hint="eastAsia" w:eastAsia="宋体"/>
          <w:sz w:val="28"/>
          <w:szCs w:val="36"/>
          <w:lang w:val="en-US" w:eastAsia="zh-CN"/>
        </w:rPr>
        <w:t xml:space="preserve">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2400"/>
        <w:gridCol w:w="3913"/>
        <w:gridCol w:w="3484"/>
        <w:gridCol w:w="1116"/>
        <w:gridCol w:w="950"/>
        <w:gridCol w:w="1117"/>
        <w:gridCol w:w="1232"/>
        <w:gridCol w:w="785"/>
      </w:tblGrid>
      <w:tr>
        <w:trPr>
          <w:trHeight w:val="1073" w:hRule="exact"/>
          <w:jc w:val="center"/>
        </w:trPr>
        <w:tc>
          <w:tcPr>
            <w:tcW w:w="641" w:type="dxa"/>
            <w:noWrap w:val="0"/>
            <w:vAlign w:val="center"/>
          </w:tcPr>
          <w:p>
            <w:pPr>
              <w:spacing w:line="300" w:lineRule="exact"/>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序号</w:t>
            </w:r>
          </w:p>
        </w:tc>
        <w:tc>
          <w:tcPr>
            <w:tcW w:w="2400" w:type="dxa"/>
            <w:noWrap w:val="0"/>
            <w:vAlign w:val="center"/>
          </w:tcPr>
          <w:p>
            <w:pPr>
              <w:spacing w:line="3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设备名称</w:t>
            </w:r>
          </w:p>
        </w:tc>
        <w:tc>
          <w:tcPr>
            <w:tcW w:w="3913" w:type="dxa"/>
            <w:noWrap w:val="0"/>
            <w:vAlign w:val="center"/>
          </w:tcPr>
          <w:p>
            <w:pPr>
              <w:spacing w:line="3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品牌型号</w:t>
            </w:r>
          </w:p>
        </w:tc>
        <w:tc>
          <w:tcPr>
            <w:tcW w:w="3484" w:type="dxa"/>
            <w:noWrap w:val="0"/>
            <w:vAlign w:val="center"/>
          </w:tcPr>
          <w:p>
            <w:pPr>
              <w:spacing w:line="3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制造厂（商）</w:t>
            </w:r>
          </w:p>
        </w:tc>
        <w:tc>
          <w:tcPr>
            <w:tcW w:w="1116" w:type="dxa"/>
            <w:noWrap w:val="0"/>
            <w:vAlign w:val="center"/>
          </w:tcPr>
          <w:p>
            <w:pPr>
              <w:spacing w:line="3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原产地（国）</w:t>
            </w:r>
          </w:p>
        </w:tc>
        <w:tc>
          <w:tcPr>
            <w:tcW w:w="950" w:type="dxa"/>
            <w:noWrap w:val="0"/>
            <w:vAlign w:val="center"/>
          </w:tcPr>
          <w:p>
            <w:pPr>
              <w:spacing w:line="3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数量</w:t>
            </w:r>
          </w:p>
        </w:tc>
        <w:tc>
          <w:tcPr>
            <w:tcW w:w="1117" w:type="dxa"/>
            <w:noWrap w:val="0"/>
            <w:vAlign w:val="center"/>
          </w:tcPr>
          <w:p>
            <w:pPr>
              <w:spacing w:line="3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单价</w:t>
            </w:r>
          </w:p>
        </w:tc>
        <w:tc>
          <w:tcPr>
            <w:tcW w:w="1232" w:type="dxa"/>
            <w:noWrap w:val="0"/>
            <w:vAlign w:val="center"/>
          </w:tcPr>
          <w:p>
            <w:pPr>
              <w:spacing w:line="3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合价</w:t>
            </w:r>
          </w:p>
        </w:tc>
        <w:tc>
          <w:tcPr>
            <w:tcW w:w="785" w:type="dxa"/>
            <w:noWrap w:val="0"/>
            <w:vAlign w:val="center"/>
          </w:tcPr>
          <w:p>
            <w:pPr>
              <w:spacing w:line="30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jc w:val="center"/>
        </w:trPr>
        <w:tc>
          <w:tcPr>
            <w:tcW w:w="641" w:type="dxa"/>
            <w:noWrap w:val="0"/>
            <w:vAlign w:val="center"/>
          </w:tcPr>
          <w:p>
            <w:pPr>
              <w:spacing w:line="3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2400" w:type="dxa"/>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u w:val="none"/>
                <w:lang w:eastAsia="zh-Hans"/>
              </w:rPr>
              <w:t>工控安全防护系统平台</w:t>
            </w:r>
          </w:p>
        </w:tc>
        <w:tc>
          <w:tcPr>
            <w:tcW w:w="3913" w:type="dxa"/>
            <w:noWrap w:val="0"/>
            <w:vAlign w:val="center"/>
          </w:tcPr>
          <w:p>
            <w:pPr>
              <w:spacing w:line="300" w:lineRule="exact"/>
              <w:ind w:firstLine="21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天融信NGFW4000-UF/TG-A2614</w:t>
            </w:r>
          </w:p>
        </w:tc>
        <w:tc>
          <w:tcPr>
            <w:tcW w:w="3484" w:type="dxa"/>
            <w:noWrap w:val="0"/>
            <w:vAlign w:val="center"/>
          </w:tcPr>
          <w:p>
            <w:pPr>
              <w:spacing w:line="3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北京天融信网络安全技术有限公司</w:t>
            </w:r>
          </w:p>
        </w:tc>
        <w:tc>
          <w:tcPr>
            <w:tcW w:w="1116" w:type="dxa"/>
            <w:noWrap w:val="0"/>
            <w:vAlign w:val="center"/>
          </w:tcPr>
          <w:p>
            <w:pPr>
              <w:spacing w:line="30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中国</w:t>
            </w:r>
          </w:p>
        </w:tc>
        <w:tc>
          <w:tcPr>
            <w:tcW w:w="950" w:type="dxa"/>
            <w:noWrap w:val="0"/>
            <w:vAlign w:val="center"/>
          </w:tcPr>
          <w:p>
            <w:pPr>
              <w:spacing w:line="3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1套</w:t>
            </w:r>
          </w:p>
        </w:tc>
        <w:tc>
          <w:tcPr>
            <w:tcW w:w="1117" w:type="dxa"/>
            <w:noWrap w:val="0"/>
            <w:vAlign w:val="center"/>
          </w:tcPr>
          <w:p>
            <w:pPr>
              <w:spacing w:line="5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357</w:t>
            </w:r>
            <w:r>
              <w:rPr>
                <w:rFonts w:hint="default" w:ascii="宋体" w:hAnsi="宋体" w:cs="宋体"/>
                <w:color w:val="auto"/>
                <w:szCs w:val="21"/>
                <w:highlight w:val="none"/>
                <w:lang w:eastAsia="zh-CN"/>
              </w:rPr>
              <w:t>0</w:t>
            </w:r>
            <w:r>
              <w:rPr>
                <w:rFonts w:hint="eastAsia" w:ascii="宋体" w:hAnsi="宋体" w:cs="宋体"/>
                <w:color w:val="auto"/>
                <w:szCs w:val="21"/>
                <w:highlight w:val="none"/>
                <w:lang w:val="en-US" w:eastAsia="zh-CN"/>
              </w:rPr>
              <w:t>0</w:t>
            </w:r>
          </w:p>
        </w:tc>
        <w:tc>
          <w:tcPr>
            <w:tcW w:w="1232" w:type="dxa"/>
            <w:noWrap w:val="0"/>
            <w:vAlign w:val="center"/>
          </w:tcPr>
          <w:p>
            <w:pPr>
              <w:spacing w:line="5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357</w:t>
            </w:r>
            <w:r>
              <w:rPr>
                <w:rFonts w:hint="default" w:ascii="宋体" w:hAnsi="宋体" w:cs="宋体"/>
                <w:color w:val="auto"/>
                <w:szCs w:val="21"/>
                <w:highlight w:val="none"/>
                <w:lang w:eastAsia="zh-CN"/>
              </w:rPr>
              <w:t>0</w:t>
            </w:r>
            <w:r>
              <w:rPr>
                <w:rFonts w:hint="eastAsia" w:ascii="宋体" w:hAnsi="宋体" w:cs="宋体"/>
                <w:color w:val="auto"/>
                <w:szCs w:val="21"/>
                <w:highlight w:val="none"/>
                <w:lang w:val="en-US" w:eastAsia="zh-CN"/>
              </w:rPr>
              <w:t>0</w:t>
            </w:r>
          </w:p>
        </w:tc>
        <w:tc>
          <w:tcPr>
            <w:tcW w:w="785" w:type="dxa"/>
            <w:noWrap w:val="0"/>
            <w:vAlign w:val="center"/>
          </w:tcPr>
          <w:p>
            <w:pPr>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641"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400" w:type="dxa"/>
            <w:noWrap w:val="0"/>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lang w:eastAsia="zh-Hans"/>
              </w:rPr>
              <w:t>终端安全防护系统</w:t>
            </w:r>
          </w:p>
        </w:tc>
        <w:tc>
          <w:tcPr>
            <w:tcW w:w="3913" w:type="dxa"/>
            <w:noWrap w:val="0"/>
            <w:vAlign w:val="center"/>
          </w:tcPr>
          <w:p>
            <w:pPr>
              <w:spacing w:line="300" w:lineRule="exact"/>
              <w:ind w:firstLine="210" w:firstLineChars="0"/>
              <w:jc w:val="center"/>
              <w:rPr>
                <w:rFonts w:hint="default"/>
                <w:lang w:val="en-US" w:eastAsia="zh-CN"/>
              </w:rPr>
            </w:pPr>
            <w:r>
              <w:rPr>
                <w:rFonts w:hint="eastAsia" w:ascii="宋体" w:hAnsi="宋体" w:cs="宋体"/>
                <w:color w:val="auto"/>
                <w:kern w:val="2"/>
                <w:sz w:val="21"/>
                <w:szCs w:val="21"/>
                <w:highlight w:val="none"/>
                <w:lang w:val="en-US" w:eastAsia="zh-CN" w:bidi="ar-SA"/>
              </w:rPr>
              <w:t>天融信TopEDR/EDR-E-WINSER3/LINUX3-LIC1</w:t>
            </w:r>
          </w:p>
        </w:tc>
        <w:tc>
          <w:tcPr>
            <w:tcW w:w="3484" w:type="dxa"/>
            <w:noWrap w:val="0"/>
            <w:vAlign w:val="center"/>
          </w:tcPr>
          <w:p>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北京天融信网络安全技术有限公司</w:t>
            </w:r>
          </w:p>
        </w:tc>
        <w:tc>
          <w:tcPr>
            <w:tcW w:w="1116"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中国</w:t>
            </w:r>
          </w:p>
        </w:tc>
        <w:tc>
          <w:tcPr>
            <w:tcW w:w="950"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1套</w:t>
            </w:r>
          </w:p>
        </w:tc>
        <w:tc>
          <w:tcPr>
            <w:tcW w:w="1117" w:type="dxa"/>
            <w:noWrap w:val="0"/>
            <w:vAlign w:val="center"/>
          </w:tcPr>
          <w:p>
            <w:pPr>
              <w:spacing w:line="5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41</w:t>
            </w:r>
            <w:r>
              <w:rPr>
                <w:rFonts w:hint="default" w:ascii="宋体" w:hAnsi="宋体" w:cs="宋体"/>
                <w:color w:val="auto"/>
                <w:szCs w:val="21"/>
                <w:highlight w:val="none"/>
                <w:lang w:eastAsia="zh-CN"/>
              </w:rPr>
              <w:t>10</w:t>
            </w:r>
            <w:r>
              <w:rPr>
                <w:rFonts w:hint="eastAsia" w:ascii="宋体" w:hAnsi="宋体" w:cs="宋体"/>
                <w:color w:val="auto"/>
                <w:szCs w:val="21"/>
                <w:highlight w:val="none"/>
                <w:lang w:val="en-US" w:eastAsia="zh-CN"/>
              </w:rPr>
              <w:t>0</w:t>
            </w:r>
          </w:p>
        </w:tc>
        <w:tc>
          <w:tcPr>
            <w:tcW w:w="1232" w:type="dxa"/>
            <w:noWrap w:val="0"/>
            <w:vAlign w:val="center"/>
          </w:tcPr>
          <w:p>
            <w:pPr>
              <w:spacing w:line="5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41</w:t>
            </w:r>
            <w:r>
              <w:rPr>
                <w:rFonts w:hint="default" w:ascii="宋体" w:hAnsi="宋体" w:cs="宋体"/>
                <w:color w:val="auto"/>
                <w:szCs w:val="21"/>
                <w:highlight w:val="none"/>
                <w:lang w:eastAsia="zh-CN"/>
              </w:rPr>
              <w:t>10</w:t>
            </w:r>
            <w:r>
              <w:rPr>
                <w:rFonts w:hint="eastAsia" w:ascii="宋体" w:hAnsi="宋体" w:cs="宋体"/>
                <w:color w:val="auto"/>
                <w:szCs w:val="21"/>
                <w:highlight w:val="none"/>
                <w:lang w:val="en-US" w:eastAsia="zh-CN"/>
              </w:rPr>
              <w:t>0</w:t>
            </w:r>
          </w:p>
        </w:tc>
        <w:tc>
          <w:tcPr>
            <w:tcW w:w="785"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641" w:type="dxa"/>
            <w:noWrap w:val="0"/>
            <w:vAlign w:val="center"/>
          </w:tcPr>
          <w:p>
            <w:pPr>
              <w:spacing w:line="50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2400" w:type="dxa"/>
            <w:noWrap w:val="0"/>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lang w:eastAsia="zh-Hans"/>
              </w:rPr>
              <w:t>安全审计系统平台</w:t>
            </w:r>
          </w:p>
        </w:tc>
        <w:tc>
          <w:tcPr>
            <w:tcW w:w="3913" w:type="dxa"/>
            <w:noWrap w:val="0"/>
            <w:vAlign w:val="center"/>
          </w:tcPr>
          <w:p>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kern w:val="2"/>
                <w:sz w:val="21"/>
                <w:szCs w:val="21"/>
                <w:highlight w:val="none"/>
                <w:lang w:val="en-US" w:eastAsia="zh-CN" w:bidi="ar-SA"/>
              </w:rPr>
              <w:t>天融信</w:t>
            </w:r>
            <w:r>
              <w:rPr>
                <w:rFonts w:hint="eastAsia" w:ascii="宋体" w:hAnsi="宋体" w:cs="宋体"/>
                <w:color w:val="auto"/>
                <w:szCs w:val="21"/>
                <w:highlight w:val="none"/>
                <w:lang w:val="en-US" w:eastAsia="zh-CN"/>
              </w:rPr>
              <w:t>TopAudit/TA-L-SE-50</w:t>
            </w:r>
          </w:p>
        </w:tc>
        <w:tc>
          <w:tcPr>
            <w:tcW w:w="3484"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北京天融信网络安全技术有限公司</w:t>
            </w:r>
          </w:p>
        </w:tc>
        <w:tc>
          <w:tcPr>
            <w:tcW w:w="1116"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中国</w:t>
            </w:r>
          </w:p>
        </w:tc>
        <w:tc>
          <w:tcPr>
            <w:tcW w:w="950"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1套</w:t>
            </w:r>
          </w:p>
        </w:tc>
        <w:tc>
          <w:tcPr>
            <w:tcW w:w="1117" w:type="dxa"/>
            <w:noWrap w:val="0"/>
            <w:vAlign w:val="center"/>
          </w:tcPr>
          <w:p>
            <w:pPr>
              <w:spacing w:line="5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36500</w:t>
            </w:r>
          </w:p>
        </w:tc>
        <w:tc>
          <w:tcPr>
            <w:tcW w:w="1232" w:type="dxa"/>
            <w:noWrap w:val="0"/>
            <w:vAlign w:val="center"/>
          </w:tcPr>
          <w:p>
            <w:pPr>
              <w:spacing w:line="5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36500</w:t>
            </w:r>
          </w:p>
        </w:tc>
        <w:tc>
          <w:tcPr>
            <w:tcW w:w="785"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641" w:type="dxa"/>
            <w:noWrap w:val="0"/>
            <w:vAlign w:val="center"/>
          </w:tcPr>
          <w:p>
            <w:pPr>
              <w:spacing w:line="5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2400" w:type="dxa"/>
            <w:noWrap w:val="0"/>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kern w:val="0"/>
                <w:sz w:val="21"/>
                <w:szCs w:val="21"/>
              </w:rPr>
              <w:t>WEB</w:t>
            </w:r>
            <w:r>
              <w:rPr>
                <w:rFonts w:hint="eastAsia" w:ascii="宋体" w:hAnsi="宋体" w:eastAsia="宋体" w:cs="宋体"/>
                <w:color w:val="auto"/>
                <w:kern w:val="0"/>
                <w:sz w:val="21"/>
                <w:szCs w:val="21"/>
                <w:lang w:eastAsia="zh-Hans"/>
              </w:rPr>
              <w:t>安全应用平台</w:t>
            </w:r>
          </w:p>
        </w:tc>
        <w:tc>
          <w:tcPr>
            <w:tcW w:w="3913" w:type="dxa"/>
            <w:noWrap w:val="0"/>
            <w:vAlign w:val="center"/>
          </w:tcPr>
          <w:p>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kern w:val="2"/>
                <w:sz w:val="21"/>
                <w:szCs w:val="21"/>
                <w:highlight w:val="none"/>
                <w:lang w:val="en-US" w:eastAsia="zh-CN" w:bidi="ar-SA"/>
              </w:rPr>
              <w:t>天融信</w:t>
            </w:r>
            <w:r>
              <w:rPr>
                <w:rFonts w:hint="eastAsia" w:ascii="宋体" w:hAnsi="宋体" w:cs="宋体"/>
                <w:color w:val="auto"/>
                <w:szCs w:val="21"/>
                <w:highlight w:val="none"/>
                <w:lang w:val="en-US" w:eastAsia="zh-CN"/>
              </w:rPr>
              <w:t>TopWAF/TWF-A3106</w:t>
            </w:r>
          </w:p>
        </w:tc>
        <w:tc>
          <w:tcPr>
            <w:tcW w:w="3484"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北京天融信网络安全技术有限公司</w:t>
            </w:r>
          </w:p>
        </w:tc>
        <w:tc>
          <w:tcPr>
            <w:tcW w:w="1116"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中国</w:t>
            </w:r>
          </w:p>
        </w:tc>
        <w:tc>
          <w:tcPr>
            <w:tcW w:w="950"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1套</w:t>
            </w:r>
          </w:p>
        </w:tc>
        <w:tc>
          <w:tcPr>
            <w:tcW w:w="1117" w:type="dxa"/>
            <w:noWrap w:val="0"/>
            <w:vAlign w:val="center"/>
          </w:tcPr>
          <w:p>
            <w:pPr>
              <w:spacing w:line="5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34500</w:t>
            </w:r>
          </w:p>
        </w:tc>
        <w:tc>
          <w:tcPr>
            <w:tcW w:w="1232" w:type="dxa"/>
            <w:noWrap w:val="0"/>
            <w:vAlign w:val="center"/>
          </w:tcPr>
          <w:p>
            <w:pPr>
              <w:spacing w:line="5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34500</w:t>
            </w:r>
          </w:p>
        </w:tc>
        <w:tc>
          <w:tcPr>
            <w:tcW w:w="785"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641" w:type="dxa"/>
            <w:noWrap w:val="0"/>
            <w:vAlign w:val="center"/>
          </w:tcPr>
          <w:p>
            <w:pPr>
              <w:spacing w:line="5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2400" w:type="dxa"/>
            <w:noWrap w:val="0"/>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i w:val="0"/>
                <w:iCs w:val="0"/>
                <w:color w:val="auto"/>
                <w:kern w:val="0"/>
                <w:sz w:val="21"/>
                <w:szCs w:val="21"/>
                <w:u w:val="none"/>
                <w:lang w:val="en-US" w:eastAsia="zh-CN" w:bidi="ar"/>
              </w:rPr>
              <w:t>24口接入交换机</w:t>
            </w:r>
          </w:p>
        </w:tc>
        <w:tc>
          <w:tcPr>
            <w:tcW w:w="3913" w:type="dxa"/>
            <w:noWrap w:val="0"/>
            <w:vAlign w:val="center"/>
          </w:tcPr>
          <w:p>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华三S5130S-28S-E1</w:t>
            </w:r>
          </w:p>
        </w:tc>
        <w:tc>
          <w:tcPr>
            <w:tcW w:w="3484" w:type="dxa"/>
            <w:noWrap w:val="0"/>
            <w:vAlign w:val="center"/>
          </w:tcPr>
          <w:p>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新华三技术有限公司</w:t>
            </w:r>
          </w:p>
        </w:tc>
        <w:tc>
          <w:tcPr>
            <w:tcW w:w="1116"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中国</w:t>
            </w:r>
          </w:p>
        </w:tc>
        <w:tc>
          <w:tcPr>
            <w:tcW w:w="950"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2台</w:t>
            </w:r>
          </w:p>
        </w:tc>
        <w:tc>
          <w:tcPr>
            <w:tcW w:w="1117" w:type="dxa"/>
            <w:noWrap w:val="0"/>
            <w:vAlign w:val="center"/>
          </w:tcPr>
          <w:p>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39500</w:t>
            </w:r>
          </w:p>
        </w:tc>
        <w:tc>
          <w:tcPr>
            <w:tcW w:w="1232" w:type="dxa"/>
            <w:noWrap w:val="0"/>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79000</w:t>
            </w:r>
          </w:p>
        </w:tc>
        <w:tc>
          <w:tcPr>
            <w:tcW w:w="785"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641" w:type="dxa"/>
            <w:noWrap w:val="0"/>
            <w:vAlign w:val="center"/>
          </w:tcPr>
          <w:p>
            <w:pPr>
              <w:spacing w:line="5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2400" w:type="dxa"/>
            <w:noWrap w:val="0"/>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kern w:val="0"/>
                <w:sz w:val="21"/>
                <w:szCs w:val="21"/>
              </w:rPr>
              <w:t>网络微分域</w:t>
            </w:r>
            <w:r>
              <w:rPr>
                <w:rFonts w:hint="eastAsia" w:ascii="宋体" w:hAnsi="宋体" w:eastAsia="宋体" w:cs="宋体"/>
                <w:color w:val="auto"/>
                <w:kern w:val="0"/>
                <w:sz w:val="21"/>
                <w:szCs w:val="21"/>
                <w:lang w:eastAsia="zh-CN"/>
              </w:rPr>
              <w:t>安全平台</w:t>
            </w:r>
          </w:p>
        </w:tc>
        <w:tc>
          <w:tcPr>
            <w:tcW w:w="3913" w:type="dxa"/>
            <w:noWrap w:val="0"/>
            <w:vAlign w:val="center"/>
          </w:tcPr>
          <w:p>
            <w:pPr>
              <w:spacing w:line="5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山石网科CloudHive-vSSM</w:t>
            </w:r>
          </w:p>
        </w:tc>
        <w:tc>
          <w:tcPr>
            <w:tcW w:w="3484" w:type="dxa"/>
            <w:noWrap w:val="0"/>
            <w:vAlign w:val="center"/>
          </w:tcPr>
          <w:p>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北京山石网科信息技术有限公司</w:t>
            </w:r>
          </w:p>
        </w:tc>
        <w:tc>
          <w:tcPr>
            <w:tcW w:w="1116"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中国</w:t>
            </w:r>
          </w:p>
        </w:tc>
        <w:tc>
          <w:tcPr>
            <w:tcW w:w="950"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1套</w:t>
            </w:r>
          </w:p>
        </w:tc>
        <w:tc>
          <w:tcPr>
            <w:tcW w:w="1117" w:type="dxa"/>
            <w:noWrap w:val="0"/>
            <w:vAlign w:val="center"/>
          </w:tcPr>
          <w:p>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253000</w:t>
            </w:r>
          </w:p>
        </w:tc>
        <w:tc>
          <w:tcPr>
            <w:tcW w:w="1232" w:type="dxa"/>
            <w:noWrap w:val="0"/>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eastAsia="宋体" w:cs="宋体"/>
                <w:i w:val="0"/>
                <w:color w:val="000000"/>
                <w:kern w:val="0"/>
                <w:sz w:val="21"/>
                <w:szCs w:val="21"/>
                <w:u w:val="none"/>
                <w:lang w:val="en-US" w:eastAsia="zh-CN" w:bidi="ar"/>
              </w:rPr>
              <w:t>253000</w:t>
            </w:r>
          </w:p>
        </w:tc>
        <w:tc>
          <w:tcPr>
            <w:tcW w:w="785" w:type="dxa"/>
            <w:noWrap w:val="0"/>
            <w:vAlign w:val="center"/>
          </w:tcPr>
          <w:p>
            <w:pPr>
              <w:spacing w:line="500" w:lineRule="exact"/>
              <w:jc w:val="center"/>
              <w:rPr>
                <w:rFonts w:hint="eastAsia"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SA"/>
              </w:rPr>
              <w:t>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5638" w:type="dxa"/>
            <w:gridSpan w:val="9"/>
            <w:noWrap w:val="0"/>
            <w:vAlign w:val="center"/>
          </w:tcPr>
          <w:p>
            <w:pPr>
              <w:spacing w:line="500" w:lineRule="exact"/>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合计：  小写：￥</w:t>
            </w:r>
            <w:r>
              <w:rPr>
                <w:rFonts w:hint="eastAsia" w:ascii="宋体" w:hAnsi="宋体" w:cs="宋体"/>
                <w:color w:val="auto"/>
                <w:sz w:val="21"/>
                <w:szCs w:val="21"/>
                <w:highlight w:val="none"/>
                <w:lang w:val="en-US" w:eastAsia="zh-CN"/>
              </w:rPr>
              <w:t>47</w:t>
            </w:r>
            <w:r>
              <w:rPr>
                <w:rFonts w:hint="default" w:ascii="宋体" w:hAnsi="宋体" w:cs="宋体"/>
                <w:color w:val="auto"/>
                <w:sz w:val="21"/>
                <w:szCs w:val="21"/>
                <w:highlight w:val="none"/>
                <w:lang w:eastAsia="zh-CN"/>
              </w:rPr>
              <w:t>98</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rPr>
              <w:t>元     大写：人民币</w:t>
            </w:r>
            <w:r>
              <w:rPr>
                <w:rFonts w:hint="eastAsia" w:ascii="宋体" w:hAnsi="宋体" w:cs="宋体"/>
                <w:color w:val="auto"/>
                <w:sz w:val="21"/>
                <w:szCs w:val="21"/>
                <w:highlight w:val="none"/>
                <w:lang w:val="en-US" w:eastAsia="zh-CN"/>
              </w:rPr>
              <w:t>肆拾柒万</w:t>
            </w:r>
            <w:r>
              <w:rPr>
                <w:rFonts w:hint="eastAsia" w:ascii="宋体" w:hAnsi="宋体" w:cs="宋体"/>
                <w:color w:val="auto"/>
                <w:sz w:val="21"/>
                <w:szCs w:val="21"/>
                <w:highlight w:val="none"/>
                <w:lang w:val="en-US" w:eastAsia="zh-Hans"/>
              </w:rPr>
              <w:t>玖仟捌佰</w:t>
            </w:r>
            <w:r>
              <w:rPr>
                <w:rFonts w:hint="eastAsia" w:ascii="宋体" w:hAnsi="宋体" w:cs="宋体"/>
                <w:color w:val="auto"/>
                <w:sz w:val="21"/>
                <w:szCs w:val="21"/>
                <w:highlight w:val="none"/>
                <w:lang w:val="en-US" w:eastAsia="zh-CN"/>
              </w:rPr>
              <w:t>元</w:t>
            </w:r>
            <w:r>
              <w:rPr>
                <w:rFonts w:hint="eastAsia" w:ascii="宋体" w:hAnsi="宋体" w:eastAsia="宋体" w:cs="宋体"/>
                <w:color w:val="auto"/>
                <w:sz w:val="21"/>
                <w:szCs w:val="21"/>
                <w:highlight w:val="none"/>
              </w:rPr>
              <w:t>整</w:t>
            </w:r>
          </w:p>
        </w:tc>
      </w:tr>
    </w:tbl>
    <w:p>
      <w:pPr>
        <w:bidi w:val="0"/>
        <w:rPr>
          <w:rFonts w:hint="eastAsia"/>
        </w:rPr>
        <w:sectPr>
          <w:pgSz w:w="16838" w:h="11906" w:orient="landscape"/>
          <w:pgMar w:top="1800" w:right="1440" w:bottom="1800" w:left="1440" w:header="851" w:footer="992" w:gutter="0"/>
          <w:cols w:space="425" w:num="1"/>
          <w:docGrid w:type="lines" w:linePitch="312" w:charSpace="0"/>
        </w:sectPr>
      </w:pPr>
    </w:p>
    <w:p>
      <w:pPr>
        <w:spacing w:line="360" w:lineRule="auto"/>
        <w:jc w:val="left"/>
        <w:rPr>
          <w:rFonts w:ascii="宋体"/>
          <w:b/>
          <w:bCs/>
          <w:sz w:val="28"/>
          <w:szCs w:val="28"/>
        </w:rPr>
      </w:pPr>
      <w:r>
        <w:rPr>
          <w:rFonts w:hint="eastAsia" w:ascii="宋体" w:hAnsi="宋体" w:cs="宋体"/>
          <w:b/>
          <w:bCs/>
          <w:sz w:val="28"/>
          <w:szCs w:val="28"/>
        </w:rPr>
        <w:t>附</w:t>
      </w:r>
      <w:r>
        <w:rPr>
          <w:rFonts w:ascii="宋体" w:hAnsi="宋体" w:cs="宋体"/>
          <w:b/>
          <w:bCs/>
          <w:sz w:val="28"/>
          <w:szCs w:val="28"/>
        </w:rPr>
        <w:t>2</w:t>
      </w:r>
      <w:r>
        <w:rPr>
          <w:rFonts w:hint="eastAsia" w:ascii="宋体" w:hAnsi="宋体" w:cs="宋体"/>
          <w:b/>
          <w:bCs/>
          <w:sz w:val="28"/>
          <w:szCs w:val="28"/>
        </w:rPr>
        <w:t>：</w:t>
      </w:r>
    </w:p>
    <w:p>
      <w:pPr>
        <w:spacing w:line="360" w:lineRule="auto"/>
        <w:jc w:val="left"/>
        <w:rPr>
          <w:rFonts w:hint="eastAsia" w:ascii="宋体" w:hAnsi="宋体" w:cs="宋体"/>
          <w:b/>
          <w:bCs/>
          <w:kern w:val="0"/>
          <w:sz w:val="28"/>
          <w:szCs w:val="28"/>
        </w:rPr>
      </w:pPr>
      <w:r>
        <w:rPr>
          <w:rFonts w:hint="eastAsia" w:ascii="宋体" w:hAnsi="宋体" w:cs="宋体"/>
          <w:b/>
          <w:bCs/>
          <w:kern w:val="0"/>
          <w:sz w:val="28"/>
          <w:szCs w:val="28"/>
        </w:rPr>
        <w:t>设备配置清单表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552"/>
        <w:gridCol w:w="727"/>
        <w:gridCol w:w="11654"/>
        <w:gridCol w:w="600"/>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2"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vertAlign w:val="baseline"/>
              </w:rPr>
            </w:pPr>
            <w:r>
              <w:rPr>
                <w:rFonts w:hint="eastAsia" w:ascii="宋体" w:hAnsi="宋体" w:eastAsia="宋体" w:cs="宋体"/>
                <w:color w:val="auto"/>
                <w:szCs w:val="21"/>
                <w:highlight w:val="none"/>
              </w:rPr>
              <w:t>序 号</w:t>
            </w:r>
          </w:p>
        </w:tc>
        <w:tc>
          <w:tcPr>
            <w:tcW w:w="727"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vertAlign w:val="baseline"/>
              </w:rPr>
            </w:pPr>
            <w:r>
              <w:rPr>
                <w:rFonts w:hint="eastAsia" w:ascii="宋体" w:hAnsi="宋体" w:eastAsia="宋体" w:cs="宋体"/>
                <w:color w:val="auto"/>
                <w:szCs w:val="21"/>
                <w:highlight w:val="none"/>
              </w:rPr>
              <w:t>设备名称</w:t>
            </w:r>
          </w:p>
        </w:tc>
        <w:tc>
          <w:tcPr>
            <w:tcW w:w="11654"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vertAlign w:val="baseline"/>
              </w:rPr>
            </w:pPr>
            <w:r>
              <w:rPr>
                <w:rFonts w:hint="eastAsia" w:ascii="宋体" w:hAnsi="宋体" w:eastAsia="宋体" w:cs="宋体"/>
                <w:color w:val="auto"/>
                <w:szCs w:val="21"/>
                <w:highlight w:val="none"/>
              </w:rPr>
              <w:t>具体技术规格参数、功能描述及配置清单描述</w:t>
            </w:r>
          </w:p>
        </w:tc>
        <w:tc>
          <w:tcPr>
            <w:tcW w:w="60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vertAlign w:val="baseline"/>
              </w:rPr>
            </w:pPr>
            <w:r>
              <w:rPr>
                <w:rFonts w:hint="eastAsia" w:ascii="宋体" w:hAnsi="宋体" w:eastAsia="宋体" w:cs="宋体"/>
                <w:color w:val="auto"/>
                <w:szCs w:val="21"/>
                <w:highlight w:val="none"/>
              </w:rPr>
              <w:t>单 位</w:t>
            </w:r>
          </w:p>
        </w:tc>
        <w:tc>
          <w:tcPr>
            <w:tcW w:w="641"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vertAlign w:val="baseline"/>
              </w:rPr>
            </w:pPr>
            <w:r>
              <w:rPr>
                <w:rFonts w:hint="eastAsia" w:ascii="宋体" w:hAnsi="宋体" w:eastAsia="宋体" w:cs="宋体"/>
                <w:color w:val="auto"/>
                <w:szCs w:val="21"/>
                <w:highlight w:val="none"/>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restart"/>
            <w:vAlign w:val="center"/>
          </w:tcPr>
          <w:p>
            <w:pPr>
              <w:spacing w:line="300" w:lineRule="exact"/>
              <w:jc w:val="center"/>
              <w:rPr>
                <w:rFonts w:hint="eastAsia"/>
                <w:vertAlign w:val="baseline"/>
              </w:rPr>
            </w:pPr>
            <w:r>
              <w:rPr>
                <w:rFonts w:hint="eastAsia" w:ascii="宋体" w:hAnsi="宋体" w:eastAsia="宋体" w:cs="宋体"/>
                <w:color w:val="auto"/>
                <w:sz w:val="21"/>
                <w:szCs w:val="21"/>
                <w:highlight w:val="none"/>
              </w:rPr>
              <w:t>1</w:t>
            </w:r>
          </w:p>
        </w:tc>
        <w:tc>
          <w:tcPr>
            <w:tcW w:w="727" w:type="dxa"/>
            <w:vMerge w:val="restart"/>
            <w:vAlign w:val="center"/>
          </w:tcPr>
          <w:p>
            <w:pPr>
              <w:spacing w:line="240" w:lineRule="auto"/>
              <w:jc w:val="center"/>
              <w:rPr>
                <w:rFonts w:hint="eastAsia"/>
                <w:vertAlign w:val="baseline"/>
              </w:rPr>
            </w:pPr>
            <w:r>
              <w:rPr>
                <w:rFonts w:hint="eastAsia" w:ascii="宋体" w:hAnsi="宋体" w:eastAsia="宋体" w:cs="宋体"/>
                <w:i w:val="0"/>
                <w:iCs w:val="0"/>
                <w:color w:val="auto"/>
                <w:sz w:val="21"/>
                <w:szCs w:val="21"/>
                <w:u w:val="none"/>
                <w:lang w:eastAsia="zh-Hans"/>
              </w:rPr>
              <w:t>工控安全防护系统平台</w:t>
            </w:r>
          </w:p>
        </w:tc>
        <w:tc>
          <w:tcPr>
            <w:tcW w:w="11654"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top"/>
              <w:rPr>
                <w:rFonts w:hint="eastAsia"/>
                <w:vertAlign w:val="baseline"/>
              </w:rPr>
            </w:pPr>
            <w:r>
              <w:rPr>
                <w:rFonts w:hint="eastAsia" w:ascii="宋体" w:hAnsi="宋体" w:eastAsia="宋体" w:cs="宋体"/>
                <w:b w:val="0"/>
                <w:bCs w:val="0"/>
                <w:color w:val="auto"/>
                <w:sz w:val="21"/>
                <w:szCs w:val="21"/>
                <w:lang w:val="en-US" w:eastAsia="zh-CN"/>
              </w:rPr>
              <w:t>1、</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系统结构：产品由专用的硬件平台、安全操作系统及功能软件构成。设备采用自主知识产权的专用安全操作系统，采用多核多平台并行处理机制。</w:t>
            </w:r>
          </w:p>
        </w:tc>
        <w:tc>
          <w:tcPr>
            <w:tcW w:w="600" w:type="dxa"/>
            <w:vMerge w:val="restart"/>
            <w:vAlign w:val="center"/>
          </w:tcPr>
          <w:p>
            <w:pPr>
              <w:spacing w:line="300" w:lineRule="exact"/>
              <w:jc w:val="center"/>
              <w:rPr>
                <w:rFonts w:hint="eastAsia"/>
                <w:vertAlign w:val="baseline"/>
              </w:rPr>
            </w:pPr>
            <w:r>
              <w:rPr>
                <w:rFonts w:hint="eastAsia" w:ascii="宋体" w:hAnsi="宋体" w:cs="宋体"/>
                <w:color w:val="auto"/>
                <w:kern w:val="2"/>
                <w:sz w:val="21"/>
                <w:szCs w:val="21"/>
                <w:highlight w:val="none"/>
                <w:lang w:val="en-US" w:eastAsia="zh-CN" w:bidi="ar-SA"/>
              </w:rPr>
              <w:t>套</w:t>
            </w:r>
          </w:p>
        </w:tc>
        <w:tc>
          <w:tcPr>
            <w:tcW w:w="641" w:type="dxa"/>
            <w:vMerge w:val="restart"/>
            <w:vAlign w:val="center"/>
          </w:tcPr>
          <w:p>
            <w:pPr>
              <w:spacing w:line="300" w:lineRule="exact"/>
              <w:jc w:val="center"/>
              <w:rPr>
                <w:rFonts w:hint="eastAsia"/>
                <w:vertAlign w:val="baseline"/>
              </w:rPr>
            </w:pPr>
            <w:r>
              <w:rPr>
                <w:rFonts w:hint="eastAsia" w:ascii="宋体" w:hAnsi="宋体" w:cs="宋体"/>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continue"/>
            <w:vAlign w:val="center"/>
          </w:tcPr>
          <w:p>
            <w:pPr>
              <w:pStyle w:val="2"/>
            </w:pPr>
          </w:p>
        </w:tc>
        <w:tc>
          <w:tcPr>
            <w:tcW w:w="727" w:type="dxa"/>
            <w:vMerge w:val="continue"/>
            <w:vAlign w:val="center"/>
          </w:tcPr>
          <w:p>
            <w:pPr>
              <w:pStyle w:val="2"/>
            </w:pPr>
          </w:p>
        </w:tc>
        <w:tc>
          <w:tcPr>
            <w:tcW w:w="11654"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top"/>
              <w:rPr>
                <w:rFonts w:hint="eastAsia"/>
                <w:vertAlign w:val="baseline"/>
              </w:rPr>
            </w:pPr>
            <w:r>
              <w:rPr>
                <w:rFonts w:hint="eastAsia" w:ascii="宋体" w:hAnsi="宋体" w:eastAsia="宋体" w:cs="宋体"/>
                <w:b w:val="0"/>
                <w:bCs w:val="0"/>
                <w:color w:val="auto"/>
                <w:sz w:val="21"/>
                <w:szCs w:val="21"/>
                <w:lang w:val="en-US" w:eastAsia="zh-CN"/>
              </w:rPr>
              <w:t>2、</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性能指标：基于1U机箱设备,具有6个千兆电口，具有8个SFP插槽,防火墙吞吐4G，并发连接150万，每秒新建连接2万，含IPSEC VPN模块，IPSEC VPN吞吐80M，SSL VPN吞吐220M</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top"/>
              <w:rPr>
                <w:rFonts w:hint="eastAsia"/>
                <w:vertAlign w:val="baseline"/>
              </w:rPr>
            </w:pPr>
            <w:r>
              <w:rPr>
                <w:rFonts w:hint="eastAsia" w:ascii="宋体" w:hAnsi="宋体" w:eastAsia="宋体" w:cs="宋体"/>
                <w:b w:val="0"/>
                <w:bCs w:val="0"/>
                <w:color w:val="auto"/>
                <w:sz w:val="21"/>
                <w:szCs w:val="21"/>
                <w:lang w:val="en-US" w:eastAsia="zh-CN"/>
              </w:rPr>
              <w:t>3、</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连接控制及模式：支持对指定的源/目的地址对象、源/目的地理对象、应用制定连接限制策略，可控制所有或单IP会话总数及单IP新建连接数。可支持路由、交换、虚拟线、Listening、混合工作模式。</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top"/>
              <w:rPr>
                <w:rFonts w:hint="eastAsia"/>
                <w:vertAlign w:val="baseline"/>
              </w:rPr>
            </w:pPr>
            <w:r>
              <w:rPr>
                <w:rFonts w:hint="eastAsia" w:ascii="宋体" w:hAnsi="宋体" w:eastAsia="宋体" w:cs="宋体"/>
                <w:b w:val="0"/>
                <w:bCs w:val="0"/>
                <w:color w:val="auto"/>
                <w:sz w:val="21"/>
                <w:szCs w:val="21"/>
                <w:lang w:val="en-US" w:eastAsia="zh-CN"/>
              </w:rPr>
              <w:t>4、</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用户管控及IP管控：支持防暴力破解、密码复杂度、密码有效性设置，如认证失败次数及锁定时间、密码格式、密码长度、密码找回、首次登陆修改密码、密码定期修改、密码有效时间等设置。</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top"/>
              <w:rPr>
                <w:rFonts w:hint="eastAsia"/>
                <w:vertAlign w:val="baseline"/>
              </w:rPr>
            </w:pPr>
            <w:r>
              <w:rPr>
                <w:rFonts w:hint="eastAsia" w:ascii="宋体" w:hAnsi="宋体" w:eastAsia="宋体" w:cs="宋体"/>
                <w:b w:val="0"/>
                <w:bCs w:val="0"/>
                <w:color w:val="auto"/>
                <w:sz w:val="21"/>
                <w:szCs w:val="21"/>
                <w:lang w:val="en-US" w:eastAsia="zh-CN"/>
              </w:rPr>
              <w:t>5、</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IPv4/v6双栈IP/MAC静态和动态探测绑定，支持跨三层绑定，支持IP/MAC绑定表导入导出。</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top"/>
              <w:rPr>
                <w:rFonts w:hint="eastAsia"/>
                <w:vertAlign w:val="baseline"/>
              </w:rPr>
            </w:pPr>
            <w:r>
              <w:rPr>
                <w:rFonts w:hint="eastAsia" w:ascii="宋体" w:hAnsi="宋体" w:eastAsia="宋体" w:cs="宋体"/>
                <w:b w:val="0"/>
                <w:bCs w:val="0"/>
                <w:color w:val="auto"/>
                <w:sz w:val="21"/>
                <w:szCs w:val="21"/>
                <w:lang w:val="en-US" w:eastAsia="zh-CN"/>
              </w:rPr>
              <w:t>6、</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链路聚合：手动和LACP链路聚合，可根据源/目的mac、源/目的IP、源/目的端口、五元组、端口轮询等条件10种链路负载算法。</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top"/>
              <w:rPr>
                <w:rFonts w:hint="eastAsia"/>
                <w:vertAlign w:val="baseline"/>
              </w:rPr>
            </w:pPr>
            <w:r>
              <w:rPr>
                <w:rFonts w:hint="eastAsia" w:ascii="宋体" w:hAnsi="宋体" w:eastAsia="宋体" w:cs="宋体"/>
                <w:b w:val="0"/>
                <w:bCs w:val="0"/>
                <w:color w:val="auto"/>
                <w:sz w:val="21"/>
                <w:szCs w:val="21"/>
                <w:lang w:val="en-US" w:eastAsia="zh-CN"/>
              </w:rPr>
              <w:t>7、</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路由交换：支持根据入接口、源/目的IP地址/地址对象、源/目的端口、协议、用户、应用、选路算法、探测、度量值、权重等多种条件设置策略路由。</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left"/>
              <w:textAlignment w:val="top"/>
              <w:rPr>
                <w:rFonts w:hint="eastAsia"/>
                <w:vertAlign w:val="baseline"/>
              </w:rPr>
            </w:pPr>
            <w:r>
              <w:rPr>
                <w:rFonts w:hint="eastAsia" w:ascii="宋体" w:hAnsi="宋体" w:eastAsia="宋体" w:cs="宋体"/>
                <w:b w:val="0"/>
                <w:bCs w:val="0"/>
                <w:color w:val="auto"/>
                <w:sz w:val="21"/>
                <w:szCs w:val="21"/>
                <w:lang w:val="en-US" w:eastAsia="zh-CN"/>
              </w:rPr>
              <w:t>8、</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DNS Doctoring：支持DNS Doctoring功能，能够将来自内部网络的域名解析请求定向到真实内网资源，提高访问效率，同时支持通过配置多条 DNS Doctoring，实现内网资源服务器的负载均衡。</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spacing w:line="240" w:lineRule="auto"/>
              <w:rPr>
                <w:rFonts w:hint="eastAsia"/>
                <w:vertAlign w:val="baseline"/>
              </w:rPr>
            </w:pPr>
            <w:r>
              <w:rPr>
                <w:rFonts w:hint="eastAsia" w:ascii="宋体" w:hAnsi="宋体" w:eastAsia="宋体" w:cs="宋体"/>
                <w:b w:val="0"/>
                <w:bCs w:val="0"/>
                <w:color w:val="auto"/>
                <w:sz w:val="21"/>
                <w:szCs w:val="21"/>
                <w:lang w:val="en-US" w:eastAsia="zh-CN"/>
              </w:rPr>
              <w:t>9、</w:t>
            </w:r>
            <w:r>
              <w:rPr>
                <w:rFonts w:hint="eastAsia" w:ascii="宋体" w:hAnsi="宋体" w:cs="宋体"/>
                <w:b w:val="0"/>
                <w:bCs w:val="0"/>
                <w:color w:val="auto"/>
                <w:sz w:val="21"/>
                <w:szCs w:val="21"/>
                <w:lang w:val="en-US" w:eastAsia="zh-CN"/>
              </w:rPr>
              <w:t>采用</w:t>
            </w:r>
            <w:r>
              <w:rPr>
                <w:rFonts w:hint="eastAsia" w:ascii="宋体" w:hAnsi="宋体" w:eastAsia="宋体" w:cs="宋体"/>
                <w:b w:val="0"/>
                <w:bCs w:val="0"/>
                <w:color w:val="auto"/>
                <w:sz w:val="21"/>
                <w:szCs w:val="21"/>
                <w:lang w:val="en-US" w:eastAsia="zh-CN"/>
              </w:rPr>
              <w:t>资源虚拟化：支持在一台物理设备上划分出128个相互独立的虚拟系统，可根据连接配额及连接新建速率为每个虚拟系统分配资源。</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restart"/>
            <w:vAlign w:val="center"/>
          </w:tcPr>
          <w:p>
            <w:pPr>
              <w:spacing w:line="500" w:lineRule="exact"/>
              <w:jc w:val="center"/>
              <w:rPr>
                <w:rFonts w:hint="eastAsia"/>
                <w:vertAlign w:val="baseline"/>
              </w:rPr>
            </w:pPr>
            <w:r>
              <w:rPr>
                <w:rFonts w:hint="eastAsia" w:ascii="宋体" w:hAnsi="宋体" w:eastAsia="宋体" w:cs="宋体"/>
                <w:color w:val="auto"/>
                <w:szCs w:val="21"/>
                <w:highlight w:val="none"/>
              </w:rPr>
              <w:t>2</w:t>
            </w:r>
          </w:p>
        </w:tc>
        <w:tc>
          <w:tcPr>
            <w:tcW w:w="727" w:type="dxa"/>
            <w:vMerge w:val="restart"/>
            <w:vAlign w:val="center"/>
          </w:tcPr>
          <w:p>
            <w:pPr>
              <w:spacing w:line="240" w:lineRule="auto"/>
              <w:jc w:val="center"/>
              <w:rPr>
                <w:rFonts w:hint="eastAsia"/>
                <w:vertAlign w:val="baseline"/>
              </w:rPr>
            </w:pPr>
            <w:r>
              <w:rPr>
                <w:rFonts w:hint="eastAsia" w:ascii="宋体" w:hAnsi="宋体" w:eastAsia="宋体" w:cs="宋体"/>
                <w:color w:val="auto"/>
                <w:sz w:val="21"/>
                <w:szCs w:val="21"/>
                <w:lang w:eastAsia="zh-Hans"/>
              </w:rPr>
              <w:t>终端安全防护系统</w:t>
            </w: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1、</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配置70个winserver和30个LINUX服务器授权，3年升级许可。系统支持中/英文界面，系统部署采用C/S架构，管理采用B/S架构，管理员只需通过浏览器登录控制中心，即可对系统进行管理</w:t>
            </w:r>
          </w:p>
        </w:tc>
        <w:tc>
          <w:tcPr>
            <w:tcW w:w="600" w:type="dxa"/>
            <w:vMerge w:val="restart"/>
            <w:vAlign w:val="center"/>
          </w:tcPr>
          <w:p>
            <w:pPr>
              <w:spacing w:line="500" w:lineRule="exact"/>
              <w:jc w:val="center"/>
              <w:rPr>
                <w:rFonts w:hint="eastAsia"/>
                <w:vertAlign w:val="baseline"/>
              </w:rPr>
            </w:pPr>
            <w:r>
              <w:rPr>
                <w:rFonts w:hint="eastAsia" w:ascii="宋体" w:hAnsi="宋体" w:cs="宋体"/>
                <w:color w:val="auto"/>
                <w:kern w:val="2"/>
                <w:sz w:val="21"/>
                <w:szCs w:val="21"/>
                <w:highlight w:val="none"/>
                <w:lang w:val="en-US" w:eastAsia="zh-CN" w:bidi="ar-SA"/>
              </w:rPr>
              <w:t>套</w:t>
            </w:r>
          </w:p>
        </w:tc>
        <w:tc>
          <w:tcPr>
            <w:tcW w:w="641" w:type="dxa"/>
            <w:vMerge w:val="restart"/>
            <w:vAlign w:val="center"/>
          </w:tcPr>
          <w:p>
            <w:pPr>
              <w:spacing w:line="500" w:lineRule="exact"/>
              <w:jc w:val="center"/>
              <w:rPr>
                <w:rFonts w:hint="eastAsia"/>
                <w:vertAlign w:val="baseline"/>
              </w:rPr>
            </w:pPr>
            <w:r>
              <w:rPr>
                <w:rFonts w:hint="eastAsia" w:ascii="宋体" w:hAnsi="宋体" w:cs="宋体"/>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pPr>
          </w:p>
        </w:tc>
        <w:tc>
          <w:tcPr>
            <w:tcW w:w="727" w:type="dxa"/>
            <w:vMerge w:val="continue"/>
            <w:vAlign w:val="center"/>
          </w:tcPr>
          <w:p>
            <w:pPr>
              <w:pStyle w:val="2"/>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2、</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国产化支持：支持Linux、windows操作系统以及中标麒麟、银河麒麟、中科方德、深度、UOS等国产操作系统</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3、</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虚拟化支持：支持虚拟机、主流虚拟化终端环境（VMware、华为、华三、阿里、腾讯等）</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4、</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客户端资源占用：客户端安装后至多占用50M硬盘资源，日常内存占用不到20M，有效节省PC/Server资源。</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5、</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虚拟沙盒：支持基于虚拟沙盒的高效的本地反病毒引擎， 实现极高的本地查杀能力。</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6、</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Webshell检测：支持对webshell后门进行扫描检测 , webshell后门库数量大于100000。</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7、</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勒索病毒诱捕：设置诱饵文件并实时监控，当勒索病毒对该文件进行加密操作时进行拦截。</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8、</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系统加固：对系统关键位置进行防护，阻止无文本攻击、流氓、广告程序对系统的恶意篡改等行为。从系统文件保护、病毒免疫、进程保护、注册表保护、危险动作拦截、执行防护等多个维度对系统进行防护。</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9、</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文档检测：支持文档检测功能，针对终端存储的word、pdf、ppt、Excel、rtf、txt等文档的名称、内容进行包含关键字检查，对含有指定关键字的文档进行禁止发送、禁止拷贝等管控，消息提醒的同时将文档违规信息上报管理平台。</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10、</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USB存储标签管理：支持对移动存储设备采用标签式注册管理，可以区分内外部介质使用，定义禁用、启用只读、启用（只读_运行）和启用读写、启用（读写_运行）五种操作，按照文件类型审计在移动存储介质上文件操作记录，并可设置例外USB设备。</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spacing w:line="240" w:lineRule="auto"/>
              <w:rPr>
                <w:rFonts w:hint="eastAsia"/>
                <w:vertAlign w:val="baseline"/>
              </w:rPr>
            </w:pPr>
            <w:r>
              <w:rPr>
                <w:rFonts w:hint="eastAsia" w:ascii="宋体" w:hAnsi="宋体" w:eastAsia="宋体" w:cs="宋体"/>
                <w:color w:val="auto"/>
                <w:kern w:val="0"/>
                <w:sz w:val="21"/>
                <w:szCs w:val="21"/>
              </w:rPr>
              <w:t>11、</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设备联动：能够与同品牌的防火墙、态势感知和上网行为管理实现协同联动</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restart"/>
            <w:vAlign w:val="center"/>
          </w:tcPr>
          <w:p>
            <w:pPr>
              <w:spacing w:line="500" w:lineRule="exact"/>
              <w:jc w:val="center"/>
              <w:rPr>
                <w:rFonts w:hint="eastAsia"/>
                <w:vertAlign w:val="baseline"/>
              </w:rPr>
            </w:pPr>
            <w:r>
              <w:rPr>
                <w:rFonts w:hint="eastAsia" w:ascii="宋体" w:hAnsi="宋体" w:eastAsia="宋体" w:cs="宋体"/>
                <w:color w:val="auto"/>
                <w:szCs w:val="21"/>
                <w:highlight w:val="none"/>
                <w:lang w:val="en-US" w:eastAsia="zh-CN"/>
              </w:rPr>
              <w:t>3</w:t>
            </w:r>
          </w:p>
        </w:tc>
        <w:tc>
          <w:tcPr>
            <w:tcW w:w="727" w:type="dxa"/>
            <w:vMerge w:val="restart"/>
            <w:vAlign w:val="center"/>
          </w:tcPr>
          <w:p>
            <w:pPr>
              <w:spacing w:line="240" w:lineRule="auto"/>
              <w:jc w:val="center"/>
              <w:rPr>
                <w:rFonts w:hint="eastAsia"/>
                <w:vertAlign w:val="baseline"/>
              </w:rPr>
            </w:pPr>
            <w:r>
              <w:rPr>
                <w:rFonts w:hint="eastAsia" w:ascii="宋体" w:hAnsi="宋体" w:eastAsia="宋体" w:cs="宋体"/>
                <w:color w:val="auto"/>
                <w:sz w:val="21"/>
                <w:szCs w:val="21"/>
                <w:lang w:eastAsia="zh-Hans"/>
              </w:rPr>
              <w:t>安全审计系统平台</w:t>
            </w: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1、</w:t>
            </w:r>
            <w:r>
              <w:rPr>
                <w:rFonts w:hint="eastAsia" w:ascii="宋体" w:hAnsi="宋体" w:cs="宋体"/>
                <w:b w:val="0"/>
                <w:bCs w:val="0"/>
                <w:color w:val="auto"/>
                <w:sz w:val="21"/>
                <w:szCs w:val="21"/>
                <w:lang w:val="en-US" w:eastAsia="zh-CN"/>
              </w:rPr>
              <w:t>本采用</w:t>
            </w:r>
            <w:r>
              <w:rPr>
                <w:rFonts w:hint="eastAsia" w:ascii="宋体" w:hAnsi="宋体" w:eastAsia="宋体" w:cs="宋体"/>
                <w:bCs/>
                <w:color w:val="auto"/>
                <w:kern w:val="0"/>
                <w:sz w:val="21"/>
                <w:szCs w:val="21"/>
              </w:rPr>
              <w:t>性能：标准版，含日志收集、存储、查询、统计分析、告警响应等功能，日志采集处理均值20000EPS，峰值35000EPS，50个日志源授权。</w:t>
            </w:r>
          </w:p>
        </w:tc>
        <w:tc>
          <w:tcPr>
            <w:tcW w:w="600" w:type="dxa"/>
            <w:vMerge w:val="restart"/>
            <w:vAlign w:val="center"/>
          </w:tcPr>
          <w:p>
            <w:pPr>
              <w:spacing w:line="500" w:lineRule="exact"/>
              <w:jc w:val="center"/>
              <w:rPr>
                <w:rFonts w:hint="eastAsia"/>
                <w:vertAlign w:val="baseline"/>
              </w:rPr>
            </w:pPr>
            <w:r>
              <w:rPr>
                <w:rFonts w:hint="eastAsia" w:ascii="宋体" w:hAnsi="宋体" w:cs="宋体"/>
                <w:color w:val="auto"/>
                <w:kern w:val="2"/>
                <w:sz w:val="21"/>
                <w:szCs w:val="21"/>
                <w:highlight w:val="none"/>
                <w:lang w:val="en-US" w:eastAsia="zh-CN" w:bidi="ar-SA"/>
              </w:rPr>
              <w:t>套</w:t>
            </w:r>
          </w:p>
        </w:tc>
        <w:tc>
          <w:tcPr>
            <w:tcW w:w="641" w:type="dxa"/>
            <w:vMerge w:val="restart"/>
            <w:vAlign w:val="center"/>
          </w:tcPr>
          <w:p>
            <w:pPr>
              <w:spacing w:line="500" w:lineRule="exact"/>
              <w:jc w:val="center"/>
              <w:rPr>
                <w:rFonts w:hint="eastAsia"/>
                <w:vertAlign w:val="baseline"/>
              </w:rPr>
            </w:pPr>
            <w:r>
              <w:rPr>
                <w:rFonts w:hint="eastAsia" w:ascii="宋体" w:hAnsi="宋体" w:cs="宋体"/>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pPr>
          </w:p>
        </w:tc>
        <w:tc>
          <w:tcPr>
            <w:tcW w:w="727" w:type="dxa"/>
            <w:vMerge w:val="continue"/>
            <w:vAlign w:val="center"/>
          </w:tcPr>
          <w:p>
            <w:pPr>
              <w:pStyle w:val="2"/>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2、</w:t>
            </w:r>
            <w:r>
              <w:rPr>
                <w:rFonts w:hint="eastAsia" w:ascii="宋体" w:hAnsi="宋体" w:cs="宋体"/>
                <w:b w:val="0"/>
                <w:bCs w:val="0"/>
                <w:color w:val="auto"/>
                <w:sz w:val="21"/>
                <w:szCs w:val="21"/>
                <w:lang w:val="en-US" w:eastAsia="zh-CN"/>
              </w:rPr>
              <w:t>采用</w:t>
            </w:r>
            <w:r>
              <w:rPr>
                <w:rFonts w:hint="eastAsia" w:ascii="宋体" w:hAnsi="宋体" w:eastAsia="宋体" w:cs="宋体"/>
                <w:bCs/>
                <w:color w:val="auto"/>
                <w:kern w:val="0"/>
                <w:sz w:val="21"/>
                <w:szCs w:val="21"/>
              </w:rPr>
              <w:t>系统部署：支持单级部署，支持代理分布式部署采集日志。</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3、</w:t>
            </w:r>
            <w:r>
              <w:rPr>
                <w:rFonts w:hint="eastAsia" w:ascii="宋体" w:hAnsi="宋体" w:cs="宋体"/>
                <w:b w:val="0"/>
                <w:bCs w:val="0"/>
                <w:color w:val="auto"/>
                <w:sz w:val="21"/>
                <w:szCs w:val="21"/>
                <w:lang w:val="en-US" w:eastAsia="zh-CN"/>
              </w:rPr>
              <w:t>采用</w:t>
            </w:r>
            <w:r>
              <w:rPr>
                <w:rFonts w:hint="eastAsia" w:ascii="宋体" w:hAnsi="宋体" w:eastAsia="宋体" w:cs="宋体"/>
                <w:bCs/>
                <w:color w:val="auto"/>
                <w:kern w:val="0"/>
                <w:sz w:val="21"/>
                <w:szCs w:val="21"/>
              </w:rPr>
              <w:t>数据采集：支持安全设备、网络设备、中间件、服务器、数据库、操作系统、业务系统等26类300种日志对象的日志数据采集；支持日志归一化处理。</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4、</w:t>
            </w:r>
            <w:r>
              <w:rPr>
                <w:rFonts w:hint="eastAsia" w:ascii="宋体" w:hAnsi="宋体" w:cs="宋体"/>
                <w:b w:val="0"/>
                <w:bCs w:val="0"/>
                <w:color w:val="auto"/>
                <w:sz w:val="21"/>
                <w:szCs w:val="21"/>
                <w:lang w:val="en-US" w:eastAsia="zh-CN"/>
              </w:rPr>
              <w:t>采用</w:t>
            </w:r>
            <w:r>
              <w:rPr>
                <w:rFonts w:hint="eastAsia" w:ascii="宋体" w:hAnsi="宋体" w:eastAsia="宋体" w:cs="宋体"/>
                <w:bCs/>
                <w:color w:val="auto"/>
                <w:kern w:val="0"/>
                <w:sz w:val="21"/>
                <w:szCs w:val="21"/>
              </w:rPr>
              <w:t>日志归一化处理：支持日志归一化处理，将不同设备所产生的不同格式的难以理解的日志数据进行统一格式化处理，提炼出有用信息清晰、明确的展示给管理者。</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5、</w:t>
            </w:r>
            <w:r>
              <w:rPr>
                <w:rFonts w:hint="eastAsia" w:ascii="宋体" w:hAnsi="宋体" w:cs="宋体"/>
                <w:b w:val="0"/>
                <w:bCs w:val="0"/>
                <w:color w:val="auto"/>
                <w:sz w:val="21"/>
                <w:szCs w:val="21"/>
                <w:lang w:val="en-US" w:eastAsia="zh-CN"/>
              </w:rPr>
              <w:t>本次所投标产品采用</w:t>
            </w:r>
            <w:r>
              <w:rPr>
                <w:rFonts w:hint="eastAsia" w:ascii="宋体" w:hAnsi="宋体" w:eastAsia="宋体" w:cs="宋体"/>
                <w:bCs/>
                <w:color w:val="auto"/>
                <w:kern w:val="0"/>
                <w:sz w:val="21"/>
                <w:szCs w:val="21"/>
              </w:rPr>
              <w:t>数据采集方式：支持主动、被动相结合的数据采集方式。</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6、</w:t>
            </w:r>
            <w:r>
              <w:rPr>
                <w:rFonts w:hint="eastAsia" w:ascii="宋体" w:hAnsi="宋体" w:cs="宋体"/>
                <w:b w:val="0"/>
                <w:bCs w:val="0"/>
                <w:color w:val="auto"/>
                <w:sz w:val="21"/>
                <w:szCs w:val="21"/>
                <w:lang w:val="en-US" w:eastAsia="zh-CN"/>
              </w:rPr>
              <w:t>采用</w:t>
            </w:r>
            <w:r>
              <w:rPr>
                <w:rFonts w:hint="eastAsia" w:ascii="宋体" w:hAnsi="宋体" w:eastAsia="宋体" w:cs="宋体"/>
                <w:bCs/>
                <w:color w:val="auto"/>
                <w:kern w:val="0"/>
                <w:sz w:val="21"/>
                <w:szCs w:val="21"/>
              </w:rPr>
              <w:t>独立展示：支持独立展示每个被采集源最近24小时的日志数量趋势，便于掌握设备的安全事件情况，支持独立展示每个设备日志的最新采集时间，便于了解设备日志的采集状态。</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7、</w:t>
            </w:r>
            <w:r>
              <w:rPr>
                <w:rFonts w:hint="eastAsia" w:ascii="宋体" w:hAnsi="宋体" w:cs="宋体"/>
                <w:b w:val="0"/>
                <w:bCs w:val="0"/>
                <w:color w:val="auto"/>
                <w:sz w:val="21"/>
                <w:szCs w:val="21"/>
                <w:lang w:val="en-US" w:eastAsia="zh-CN"/>
              </w:rPr>
              <w:t>采用</w:t>
            </w:r>
            <w:r>
              <w:rPr>
                <w:rFonts w:hint="eastAsia" w:ascii="宋体" w:hAnsi="宋体" w:eastAsia="宋体" w:cs="宋体"/>
                <w:bCs/>
                <w:color w:val="auto"/>
                <w:kern w:val="0"/>
                <w:sz w:val="21"/>
                <w:szCs w:val="21"/>
              </w:rPr>
              <w:t>日志保存：支持根据设备重要程度设置独立设置每个被采集源的日志、报表数据存储时间为1个月、3个月、6个月和永久保存等参数。</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8、</w:t>
            </w:r>
            <w:r>
              <w:rPr>
                <w:rFonts w:hint="eastAsia" w:ascii="宋体" w:hAnsi="宋体" w:cs="宋体"/>
                <w:b w:val="0"/>
                <w:bCs w:val="0"/>
                <w:color w:val="auto"/>
                <w:sz w:val="21"/>
                <w:szCs w:val="21"/>
                <w:lang w:val="en-US" w:eastAsia="zh-CN"/>
              </w:rPr>
              <w:t>采用</w:t>
            </w:r>
            <w:r>
              <w:rPr>
                <w:rFonts w:hint="eastAsia" w:ascii="宋体" w:hAnsi="宋体" w:eastAsia="宋体" w:cs="宋体"/>
                <w:bCs/>
                <w:color w:val="auto"/>
                <w:kern w:val="0"/>
                <w:sz w:val="21"/>
                <w:szCs w:val="21"/>
              </w:rPr>
              <w:t>地图展示：支持首页以全国地图、全球地图展示最近24小时日志访问源和访问目的的分布，能根据颜色区分访问来源和访问目的数据量大小，能够通过首页地图快速下钻查询指定区域的日志详细信息。</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9、</w:t>
            </w:r>
            <w:r>
              <w:rPr>
                <w:rFonts w:hint="eastAsia" w:ascii="宋体" w:hAnsi="宋体" w:cs="宋体"/>
                <w:b w:val="0"/>
                <w:bCs w:val="0"/>
                <w:color w:val="auto"/>
                <w:sz w:val="21"/>
                <w:szCs w:val="21"/>
                <w:lang w:val="en-US" w:eastAsia="zh-CN"/>
              </w:rPr>
              <w:t>采用</w:t>
            </w:r>
            <w:r>
              <w:rPr>
                <w:rFonts w:hint="eastAsia" w:ascii="宋体" w:hAnsi="宋体" w:eastAsia="宋体" w:cs="宋体"/>
                <w:bCs/>
                <w:color w:val="auto"/>
                <w:kern w:val="0"/>
                <w:sz w:val="21"/>
                <w:szCs w:val="21"/>
              </w:rPr>
              <w:t>日志查询：支持在日志查询结果上针对源IP、目的IP、操作、源端口、目的端口等字段一键快速统计，以饼图方式展示，对于源IP和目的IP（公网地址）还支持以中国地图、世界地图方式展示，在统计图上能够进行点击下钻查询对应条件的日志结果。</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Cs/>
                <w:color w:val="auto"/>
                <w:kern w:val="0"/>
                <w:sz w:val="21"/>
                <w:szCs w:val="21"/>
              </w:rPr>
              <w:t>10、</w:t>
            </w:r>
            <w:r>
              <w:rPr>
                <w:rFonts w:hint="eastAsia" w:ascii="宋体" w:hAnsi="宋体" w:cs="宋体"/>
                <w:b w:val="0"/>
                <w:bCs w:val="0"/>
                <w:color w:val="auto"/>
                <w:sz w:val="21"/>
                <w:szCs w:val="21"/>
                <w:lang w:val="en-US" w:eastAsia="zh-CN"/>
              </w:rPr>
              <w:t>采用</w:t>
            </w:r>
            <w:r>
              <w:rPr>
                <w:rFonts w:hint="eastAsia" w:ascii="宋体" w:hAnsi="宋体" w:eastAsia="宋体" w:cs="宋体"/>
                <w:bCs/>
                <w:color w:val="auto"/>
                <w:kern w:val="0"/>
                <w:sz w:val="21"/>
                <w:szCs w:val="21"/>
              </w:rPr>
              <w:t>拓扑图显示：基于拓扑图的日志源相关数据信息快速查看；支持通过拓扑下钻查看对应日志源的日志、报表、告警数据。</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552" w:type="dxa"/>
            <w:vMerge w:val="restart"/>
            <w:vAlign w:val="center"/>
          </w:tcPr>
          <w:p>
            <w:pPr>
              <w:spacing w:line="500" w:lineRule="exact"/>
              <w:jc w:val="center"/>
              <w:rPr>
                <w:rFonts w:hint="eastAsia"/>
                <w:vertAlign w:val="baseline"/>
              </w:rPr>
            </w:pPr>
            <w:r>
              <w:rPr>
                <w:rFonts w:hint="eastAsia" w:ascii="宋体" w:hAnsi="宋体" w:cs="宋体"/>
                <w:color w:val="auto"/>
                <w:szCs w:val="21"/>
                <w:highlight w:val="none"/>
                <w:lang w:val="en-US" w:eastAsia="zh-CN"/>
              </w:rPr>
              <w:t>4</w:t>
            </w:r>
          </w:p>
        </w:tc>
        <w:tc>
          <w:tcPr>
            <w:tcW w:w="727" w:type="dxa"/>
            <w:vMerge w:val="restart"/>
            <w:vAlign w:val="center"/>
          </w:tcPr>
          <w:p>
            <w:pPr>
              <w:spacing w:line="240" w:lineRule="auto"/>
              <w:jc w:val="center"/>
              <w:rPr>
                <w:rFonts w:hint="eastAsia"/>
                <w:vertAlign w:val="baseline"/>
              </w:rPr>
            </w:pPr>
            <w:r>
              <w:rPr>
                <w:rFonts w:hint="eastAsia" w:ascii="宋体" w:hAnsi="宋体" w:eastAsia="宋体" w:cs="宋体"/>
                <w:color w:val="auto"/>
                <w:kern w:val="0"/>
                <w:sz w:val="21"/>
                <w:szCs w:val="21"/>
              </w:rPr>
              <w:t>WEB</w:t>
            </w:r>
            <w:r>
              <w:rPr>
                <w:rFonts w:hint="eastAsia" w:ascii="宋体" w:hAnsi="宋体" w:eastAsia="宋体" w:cs="宋体"/>
                <w:color w:val="auto"/>
                <w:kern w:val="0"/>
                <w:sz w:val="21"/>
                <w:szCs w:val="21"/>
                <w:lang w:eastAsia="zh-Hans"/>
              </w:rPr>
              <w:t>安全应用平台</w:t>
            </w: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lang w:eastAsia="zh-Hans"/>
              </w:rPr>
              <w:t>1、</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lang w:eastAsia="zh-Hans"/>
              </w:rPr>
              <w:t>性能：</w:t>
            </w:r>
            <w:r>
              <w:rPr>
                <w:rFonts w:hint="eastAsia" w:ascii="宋体" w:hAnsi="宋体" w:eastAsia="宋体" w:cs="宋体"/>
                <w:color w:val="auto"/>
                <w:kern w:val="0"/>
                <w:sz w:val="21"/>
                <w:szCs w:val="21"/>
              </w:rPr>
              <w:t>基于1U机箱设备,具有6个千兆电口,应用层吞吐200Mbps、网络层吞吐2.5G、并发连接50W,含1年应用特征库升级许可</w:t>
            </w:r>
          </w:p>
        </w:tc>
        <w:tc>
          <w:tcPr>
            <w:tcW w:w="600" w:type="dxa"/>
            <w:vMerge w:val="restart"/>
            <w:vAlign w:val="center"/>
          </w:tcPr>
          <w:p>
            <w:pPr>
              <w:spacing w:line="500" w:lineRule="exact"/>
              <w:jc w:val="center"/>
              <w:rPr>
                <w:rFonts w:hint="eastAsia"/>
                <w:vertAlign w:val="baseline"/>
              </w:rPr>
            </w:pPr>
            <w:r>
              <w:rPr>
                <w:rFonts w:hint="eastAsia" w:ascii="宋体" w:hAnsi="宋体" w:cs="宋体"/>
                <w:color w:val="auto"/>
                <w:kern w:val="2"/>
                <w:sz w:val="21"/>
                <w:szCs w:val="21"/>
                <w:highlight w:val="none"/>
                <w:lang w:val="en-US" w:eastAsia="zh-CN" w:bidi="ar-SA"/>
              </w:rPr>
              <w:t>套</w:t>
            </w:r>
          </w:p>
        </w:tc>
        <w:tc>
          <w:tcPr>
            <w:tcW w:w="641" w:type="dxa"/>
            <w:vMerge w:val="restart"/>
            <w:vAlign w:val="center"/>
          </w:tcPr>
          <w:p>
            <w:pPr>
              <w:spacing w:line="500" w:lineRule="exact"/>
              <w:jc w:val="center"/>
              <w:rPr>
                <w:rFonts w:hint="eastAsia"/>
                <w:vertAlign w:val="baseline"/>
              </w:rPr>
            </w:pPr>
            <w:r>
              <w:rPr>
                <w:rFonts w:hint="eastAsia" w:ascii="宋体" w:hAnsi="宋体" w:cs="宋体"/>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552" w:type="dxa"/>
            <w:vMerge w:val="continue"/>
            <w:vAlign w:val="center"/>
          </w:tcPr>
          <w:p>
            <w:pPr>
              <w:pStyle w:val="2"/>
            </w:pPr>
          </w:p>
        </w:tc>
        <w:tc>
          <w:tcPr>
            <w:tcW w:w="727" w:type="dxa"/>
            <w:vMerge w:val="continue"/>
            <w:vAlign w:val="center"/>
          </w:tcPr>
          <w:p>
            <w:pPr>
              <w:pStyle w:val="2"/>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2、</w:t>
            </w: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默认含SQL注入、XSS、CSRF等WEB攻击防护功能、URL访问控制功能、防盗链功能、WEB漏洞扫描功能、DDoS攻击防护功能、网页防篡改功能、服务器负载均衡功能、报表分析及告警功能</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pPr>
          </w:p>
        </w:tc>
        <w:tc>
          <w:tcPr>
            <w:tcW w:w="727" w:type="dxa"/>
            <w:vMerge w:val="continue"/>
            <w:vAlign w:val="center"/>
          </w:tcPr>
          <w:p>
            <w:pPr>
              <w:pStyle w:val="2"/>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cs="宋体"/>
                <w:b w:val="0"/>
                <w:bCs w:val="0"/>
                <w:color w:val="auto"/>
                <w:sz w:val="21"/>
                <w:szCs w:val="21"/>
                <w:lang w:val="en-US" w:eastAsia="zh-CN"/>
              </w:rPr>
              <w:t>3、</w:t>
            </w:r>
            <w:r>
              <w:rPr>
                <w:rFonts w:hint="eastAsia" w:ascii="宋体" w:hAnsi="宋体" w:eastAsia="宋体" w:cs="宋体"/>
                <w:b/>
                <w:color w:val="auto"/>
                <w:kern w:val="0"/>
                <w:sz w:val="21"/>
                <w:szCs w:val="21"/>
              </w:rPr>
              <w:t>系统架构：</w:t>
            </w:r>
            <w:r>
              <w:rPr>
                <w:rFonts w:hint="eastAsia" w:ascii="宋体" w:hAnsi="宋体" w:eastAsia="宋体" w:cs="宋体"/>
                <w:color w:val="auto"/>
                <w:kern w:val="0"/>
                <w:sz w:val="21"/>
                <w:szCs w:val="21"/>
              </w:rPr>
              <w:t>采用专用硬件架构与安全操作系统，基于操作系统内核的完全检测技术；产品为专业性 Web 应用安全防护系统硬件设备，而非下一代防火墙\UTM 类设备集成的 WEB 防护功能模块。</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cs="宋体"/>
                <w:b w:val="0"/>
                <w:bCs w:val="0"/>
                <w:color w:val="auto"/>
                <w:sz w:val="21"/>
                <w:szCs w:val="21"/>
                <w:lang w:val="en-US" w:eastAsia="zh-CN"/>
              </w:rPr>
              <w:t>4、</w:t>
            </w:r>
            <w:r>
              <w:rPr>
                <w:rFonts w:hint="eastAsia" w:ascii="宋体" w:hAnsi="宋体" w:eastAsia="宋体" w:cs="宋体"/>
                <w:b/>
                <w:color w:val="auto"/>
                <w:kern w:val="0"/>
                <w:sz w:val="21"/>
                <w:szCs w:val="21"/>
              </w:rPr>
              <w:t>部署方式：</w:t>
            </w:r>
            <w:r>
              <w:rPr>
                <w:rFonts w:hint="eastAsia" w:ascii="宋体" w:hAnsi="宋体" w:eastAsia="宋体" w:cs="宋体"/>
                <w:color w:val="auto"/>
                <w:kern w:val="0"/>
                <w:sz w:val="21"/>
                <w:szCs w:val="21"/>
              </w:rPr>
              <w:t>无IP纯透明模式串联部署、负载均衡模式部署、反向代理模式部署、旁路监测模式部署。</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cs="宋体"/>
                <w:b w:val="0"/>
                <w:bCs w:val="0"/>
                <w:color w:val="auto"/>
                <w:sz w:val="21"/>
                <w:szCs w:val="21"/>
                <w:lang w:val="en-US" w:eastAsia="zh-CN"/>
              </w:rPr>
              <w:t>5、</w:t>
            </w:r>
            <w:r>
              <w:rPr>
                <w:rFonts w:hint="eastAsia" w:ascii="宋体" w:hAnsi="宋体" w:eastAsia="宋体" w:cs="宋体"/>
                <w:b/>
                <w:color w:val="auto"/>
                <w:kern w:val="0"/>
                <w:sz w:val="21"/>
                <w:szCs w:val="21"/>
              </w:rPr>
              <w:t>网络适应性：</w:t>
            </w:r>
            <w:r>
              <w:rPr>
                <w:rFonts w:hint="eastAsia" w:ascii="宋体" w:hAnsi="宋体" w:eastAsia="宋体" w:cs="宋体"/>
                <w:color w:val="auto"/>
                <w:kern w:val="0"/>
                <w:sz w:val="21"/>
                <w:szCs w:val="21"/>
              </w:rPr>
              <w:t>支持虚拟线接入，无论任何网络环境可强制数据从一个接口转发到另一个接口。</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
                <w:color w:val="auto"/>
                <w:kern w:val="0"/>
                <w:sz w:val="21"/>
                <w:szCs w:val="21"/>
              </w:rPr>
              <w:t>Web攻击防护</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numPr>
                <w:ilvl w:val="0"/>
                <w:numId w:val="2"/>
              </w:numPr>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支持2600+的应用层安全防护规则。</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left"/>
              <w:rPr>
                <w:rFonts w:hint="eastAsia"/>
                <w:vertAlign w:val="baseline"/>
              </w:rPr>
            </w:pPr>
            <w:r>
              <w:rPr>
                <w:rFonts w:hint="eastAsia" w:ascii="宋体" w:hAnsi="宋体" w:eastAsia="宋体" w:cs="宋体"/>
                <w:color w:val="auto"/>
                <w:kern w:val="0"/>
                <w:sz w:val="21"/>
                <w:szCs w:val="21"/>
              </w:rPr>
              <w:t>应能识别和阻断SQL注入攻击,Cookie 注入攻击，命令注入攻击。</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numPr>
                <w:ilvl w:val="0"/>
                <w:numId w:val="2"/>
              </w:numPr>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cs="宋体"/>
                <w:b w:val="0"/>
                <w:bCs w:val="0"/>
                <w:color w:val="auto"/>
                <w:sz w:val="21"/>
                <w:szCs w:val="21"/>
                <w:lang w:val="en-US" w:eastAsia="zh-CN"/>
              </w:rPr>
              <w:t>产品</w:t>
            </w:r>
            <w:r>
              <w:rPr>
                <w:rFonts w:hint="eastAsia" w:ascii="宋体" w:hAnsi="宋体" w:eastAsia="宋体" w:cs="宋体"/>
                <w:color w:val="auto"/>
                <w:kern w:val="0"/>
                <w:sz w:val="21"/>
                <w:szCs w:val="21"/>
              </w:rPr>
              <w:t>能识别和阻断跨站脚本(XSS)攻击。</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numPr>
                <w:ilvl w:val="0"/>
                <w:numId w:val="2"/>
              </w:numPr>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cs="宋体"/>
                <w:b w:val="0"/>
                <w:bCs w:val="0"/>
                <w:color w:val="auto"/>
                <w:sz w:val="21"/>
                <w:szCs w:val="21"/>
                <w:lang w:val="en-US" w:eastAsia="zh-CN"/>
              </w:rPr>
              <w:t>采用</w:t>
            </w:r>
            <w:r>
              <w:rPr>
                <w:rFonts w:hint="eastAsia" w:ascii="宋体" w:hAnsi="宋体" w:eastAsia="宋体" w:cs="宋体"/>
                <w:color w:val="auto"/>
                <w:kern w:val="0"/>
                <w:sz w:val="21"/>
                <w:szCs w:val="21"/>
              </w:rPr>
              <w:t>能识别和阻断跨站请求伪造(CSRF)攻击，支持HTTP token防护和referer匹配防护等多种防护方式。</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10、</w:t>
            </w:r>
            <w:r>
              <w:rPr>
                <w:rFonts w:hint="eastAsia" w:ascii="宋体" w:hAnsi="宋体" w:eastAsia="宋体" w:cs="宋体"/>
                <w:b/>
                <w:color w:val="auto"/>
                <w:kern w:val="0"/>
                <w:sz w:val="21"/>
                <w:szCs w:val="21"/>
              </w:rPr>
              <w:t>恶意扫描防护：</w:t>
            </w:r>
            <w:r>
              <w:rPr>
                <w:rFonts w:hint="eastAsia" w:ascii="宋体" w:hAnsi="宋体" w:eastAsia="宋体" w:cs="宋体"/>
                <w:color w:val="auto"/>
                <w:kern w:val="0"/>
                <w:sz w:val="21"/>
                <w:szCs w:val="21"/>
              </w:rPr>
              <w:t>通过人机识别方式，进行恶意扫描智能检测；支持扫描防护阈值设置和扫描IP的阻断周期设置。</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cs="宋体"/>
                <w:b w:val="0"/>
                <w:bCs w:val="0"/>
                <w:color w:val="auto"/>
                <w:sz w:val="21"/>
                <w:szCs w:val="21"/>
                <w:lang w:val="en-US" w:eastAsia="zh-CN"/>
              </w:rPr>
              <w:t>11、</w:t>
            </w:r>
            <w:r>
              <w:rPr>
                <w:rFonts w:hint="eastAsia" w:ascii="宋体" w:hAnsi="宋体" w:eastAsia="宋体" w:cs="宋体"/>
                <w:b/>
                <w:color w:val="auto"/>
                <w:kern w:val="0"/>
                <w:sz w:val="21"/>
                <w:szCs w:val="21"/>
              </w:rPr>
              <w:t>爬虫攻击防护：</w:t>
            </w:r>
            <w:r>
              <w:rPr>
                <w:rFonts w:hint="eastAsia" w:ascii="宋体" w:hAnsi="宋体" w:eastAsia="宋体" w:cs="宋体"/>
                <w:color w:val="auto"/>
                <w:kern w:val="0"/>
                <w:sz w:val="21"/>
                <w:szCs w:val="21"/>
              </w:rPr>
              <w:t>包括但不限于内置爬虫对象库，自定义爬虫对象，导入或者下载后端服务器robots.txt 等方式提供爬虫攻击防护。</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12、</w:t>
            </w:r>
            <w:r>
              <w:rPr>
                <w:rFonts w:hint="eastAsia" w:ascii="宋体" w:hAnsi="宋体" w:eastAsia="宋体" w:cs="宋体"/>
                <w:b/>
                <w:color w:val="auto"/>
                <w:kern w:val="0"/>
                <w:sz w:val="21"/>
                <w:szCs w:val="21"/>
              </w:rPr>
              <w:t>访问控制：</w:t>
            </w:r>
            <w:r>
              <w:rPr>
                <w:rFonts w:hint="eastAsia" w:ascii="宋体" w:hAnsi="宋体" w:eastAsia="宋体" w:cs="宋体"/>
                <w:color w:val="auto"/>
                <w:kern w:val="0"/>
                <w:sz w:val="21"/>
                <w:szCs w:val="21"/>
              </w:rPr>
              <w:t>支持网络层访问控制，支持基于源IP 、目的IP 及源目的区域、服务类型、地理位置区域等条件的访问控制。</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b/>
                <w:color w:val="auto"/>
                <w:kern w:val="0"/>
                <w:sz w:val="21"/>
                <w:szCs w:val="21"/>
              </w:rPr>
              <w:t>网页防篡改</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color w:val="auto"/>
                <w:kern w:val="0"/>
                <w:sz w:val="21"/>
                <w:szCs w:val="21"/>
              </w:rPr>
              <w:t>13、</w:t>
            </w:r>
            <w:r>
              <w:rPr>
                <w:rFonts w:hint="eastAsia" w:ascii="宋体" w:hAnsi="宋体" w:cs="宋体"/>
                <w:b w:val="0"/>
                <w:bCs w:val="0"/>
                <w:color w:val="auto"/>
                <w:sz w:val="21"/>
                <w:szCs w:val="21"/>
                <w:lang w:val="en-US" w:eastAsia="zh-CN"/>
              </w:rPr>
              <w:t>支持</w:t>
            </w:r>
            <w:r>
              <w:rPr>
                <w:rFonts w:hint="eastAsia" w:ascii="宋体" w:hAnsi="宋体" w:eastAsia="宋体" w:cs="宋体"/>
                <w:color w:val="auto"/>
                <w:kern w:val="0"/>
                <w:sz w:val="21"/>
                <w:szCs w:val="21"/>
              </w:rPr>
              <w:t>网关型网页防篡改，无需在服务器中安装任何插件，即可对网站文件内容进行篡改防护，当检测到篡改后可以实时恢复篡改内容。</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440" w:lineRule="exact"/>
              <w:ind w:left="0" w:leftChars="0"/>
              <w:jc w:val="left"/>
              <w:rPr>
                <w:rFonts w:hint="eastAsia"/>
                <w:vertAlign w:val="baseline"/>
              </w:rPr>
            </w:pPr>
            <w:r>
              <w:rPr>
                <w:rFonts w:hint="eastAsia" w:ascii="宋体" w:hAnsi="宋体" w:eastAsia="宋体" w:cs="宋体"/>
                <w:color w:val="auto"/>
                <w:kern w:val="0"/>
                <w:sz w:val="21"/>
                <w:szCs w:val="21"/>
              </w:rPr>
              <w:t>14、</w:t>
            </w:r>
            <w:r>
              <w:rPr>
                <w:rFonts w:hint="eastAsia" w:ascii="宋体" w:hAnsi="宋体" w:cs="宋体"/>
                <w:b w:val="0"/>
                <w:bCs w:val="0"/>
                <w:color w:val="auto"/>
                <w:sz w:val="21"/>
                <w:szCs w:val="21"/>
                <w:lang w:val="en-US" w:eastAsia="zh-CN"/>
              </w:rPr>
              <w:t>支持</w:t>
            </w:r>
            <w:r>
              <w:rPr>
                <w:rFonts w:hint="eastAsia" w:ascii="宋体" w:hAnsi="宋体" w:eastAsia="宋体" w:cs="宋体"/>
                <w:color w:val="auto"/>
                <w:kern w:val="0"/>
                <w:sz w:val="21"/>
                <w:szCs w:val="21"/>
              </w:rPr>
              <w:t>缓存型网页篡改防护；WAF通过将缓存的网站页面返回给客户端，从而保证客户端无法看到被非法篡改的页面，来做到网页篡改防护。</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restart"/>
            <w:vAlign w:val="center"/>
          </w:tcPr>
          <w:p>
            <w:pPr>
              <w:spacing w:line="500" w:lineRule="exact"/>
              <w:jc w:val="center"/>
              <w:rPr>
                <w:rFonts w:hint="eastAsia"/>
                <w:vertAlign w:val="baseline"/>
              </w:rPr>
            </w:pPr>
            <w:r>
              <w:rPr>
                <w:rFonts w:hint="eastAsia" w:ascii="宋体" w:hAnsi="宋体" w:cs="宋体"/>
                <w:color w:val="auto"/>
                <w:szCs w:val="21"/>
                <w:highlight w:val="none"/>
                <w:lang w:val="en-US" w:eastAsia="zh-CN"/>
              </w:rPr>
              <w:t>5</w:t>
            </w:r>
          </w:p>
        </w:tc>
        <w:tc>
          <w:tcPr>
            <w:tcW w:w="727" w:type="dxa"/>
            <w:vMerge w:val="restart"/>
            <w:vAlign w:val="center"/>
          </w:tcPr>
          <w:p>
            <w:pPr>
              <w:spacing w:line="240" w:lineRule="auto"/>
              <w:jc w:val="center"/>
              <w:rPr>
                <w:rFonts w:hint="eastAsia"/>
                <w:vertAlign w:val="baseline"/>
              </w:rPr>
            </w:pPr>
            <w:r>
              <w:rPr>
                <w:rFonts w:hint="eastAsia" w:ascii="宋体" w:hAnsi="宋体" w:eastAsia="宋体" w:cs="宋体"/>
                <w:i w:val="0"/>
                <w:iCs w:val="0"/>
                <w:color w:val="auto"/>
                <w:kern w:val="0"/>
                <w:sz w:val="21"/>
                <w:szCs w:val="21"/>
                <w:u w:val="none"/>
                <w:lang w:val="en-US" w:eastAsia="zh-CN" w:bidi="ar"/>
              </w:rPr>
              <w:t>24口接入交换机</w:t>
            </w: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b w:val="0"/>
                <w:bCs w:val="0"/>
                <w:color w:val="auto"/>
                <w:sz w:val="21"/>
                <w:szCs w:val="21"/>
                <w:lang w:val="en-US" w:eastAsia="zh-CN"/>
              </w:rPr>
              <w:t>支持</w:t>
            </w:r>
            <w:r>
              <w:rPr>
                <w:rFonts w:hint="eastAsia" w:ascii="宋体" w:hAnsi="宋体" w:eastAsia="宋体" w:cs="宋体"/>
                <w:i w:val="0"/>
                <w:iCs w:val="0"/>
                <w:color w:val="auto"/>
                <w:kern w:val="0"/>
                <w:sz w:val="21"/>
                <w:szCs w:val="21"/>
                <w:u w:val="none"/>
                <w:lang w:val="en-US" w:eastAsia="zh-CN" w:bidi="ar"/>
              </w:rPr>
              <w:t>交换容量430Gbps，包转发率140Mpps（如官网中同项指标有多个数值，以最小值为准）</w:t>
            </w:r>
          </w:p>
        </w:tc>
        <w:tc>
          <w:tcPr>
            <w:tcW w:w="600" w:type="dxa"/>
            <w:vMerge w:val="restart"/>
            <w:vAlign w:val="center"/>
          </w:tcPr>
          <w:p>
            <w:pPr>
              <w:spacing w:line="500" w:lineRule="exact"/>
              <w:jc w:val="center"/>
              <w:rPr>
                <w:rFonts w:hint="eastAsia"/>
                <w:vertAlign w:val="baseline"/>
              </w:rPr>
            </w:pPr>
            <w:r>
              <w:rPr>
                <w:rFonts w:hint="eastAsia" w:ascii="宋体" w:hAnsi="宋体" w:cs="宋体"/>
                <w:color w:val="auto"/>
                <w:szCs w:val="21"/>
                <w:highlight w:val="none"/>
                <w:lang w:val="en-US" w:eastAsia="zh-CN"/>
              </w:rPr>
              <w:t>台</w:t>
            </w:r>
          </w:p>
        </w:tc>
        <w:tc>
          <w:tcPr>
            <w:tcW w:w="641" w:type="dxa"/>
            <w:vMerge w:val="restart"/>
            <w:vAlign w:val="center"/>
          </w:tcPr>
          <w:p>
            <w:pPr>
              <w:spacing w:line="500" w:lineRule="exact"/>
              <w:jc w:val="center"/>
              <w:rPr>
                <w:rFonts w:hint="eastAsia"/>
                <w:vertAlign w:val="baseline"/>
              </w:rPr>
            </w:pPr>
            <w:r>
              <w:rPr>
                <w:rFonts w:hint="eastAsia" w:ascii="宋体" w:hAnsi="宋体" w:cs="宋体"/>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pPr>
          </w:p>
        </w:tc>
        <w:tc>
          <w:tcPr>
            <w:tcW w:w="727" w:type="dxa"/>
            <w:vMerge w:val="continue"/>
            <w:vAlign w:val="center"/>
          </w:tcPr>
          <w:p>
            <w:pPr>
              <w:pStyle w:val="2"/>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2、</w:t>
            </w:r>
            <w:r>
              <w:rPr>
                <w:rFonts w:hint="eastAsia" w:ascii="宋体" w:hAnsi="宋体" w:cs="宋体"/>
                <w:b w:val="0"/>
                <w:bCs w:val="0"/>
                <w:color w:val="auto"/>
                <w:sz w:val="21"/>
                <w:szCs w:val="21"/>
                <w:lang w:val="en-US" w:eastAsia="zh-CN"/>
              </w:rPr>
              <w:t>支持</w:t>
            </w:r>
            <w:r>
              <w:rPr>
                <w:rFonts w:hint="eastAsia" w:ascii="宋体" w:hAnsi="宋体" w:eastAsia="宋体" w:cs="宋体"/>
                <w:i w:val="0"/>
                <w:iCs w:val="0"/>
                <w:color w:val="auto"/>
                <w:kern w:val="0"/>
                <w:sz w:val="21"/>
                <w:szCs w:val="21"/>
                <w:u w:val="none"/>
                <w:lang w:val="en-US" w:eastAsia="zh-CN" w:bidi="ar"/>
              </w:rPr>
              <w:t>10/100/1000Base-T电接口24</w:t>
            </w:r>
            <w:r>
              <w:rPr>
                <w:rFonts w:hint="eastAsia" w:ascii="宋体" w:hAnsi="宋体" w:cs="宋体"/>
                <w:i w:val="0"/>
                <w:iCs w:val="0"/>
                <w:color w:val="auto"/>
                <w:kern w:val="0"/>
                <w:sz w:val="21"/>
                <w:szCs w:val="21"/>
                <w:u w:val="none"/>
                <w:lang w:val="en-US" w:eastAsia="zh-Hans" w:bidi="ar"/>
              </w:rPr>
              <w:t>个</w:t>
            </w:r>
            <w:r>
              <w:rPr>
                <w:rFonts w:hint="eastAsia" w:ascii="宋体" w:hAnsi="宋体" w:eastAsia="宋体" w:cs="宋体"/>
                <w:i w:val="0"/>
                <w:iCs w:val="0"/>
                <w:color w:val="auto"/>
                <w:kern w:val="0"/>
                <w:sz w:val="21"/>
                <w:szCs w:val="21"/>
                <w:u w:val="none"/>
                <w:lang w:val="en-US" w:eastAsia="zh-CN" w:bidi="ar"/>
              </w:rPr>
              <w:t>；</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3、</w:t>
            </w:r>
            <w:r>
              <w:rPr>
                <w:rFonts w:hint="eastAsia" w:ascii="宋体" w:hAnsi="宋体" w:cs="宋体"/>
                <w:b w:val="0"/>
                <w:bCs w:val="0"/>
                <w:color w:val="auto"/>
                <w:sz w:val="21"/>
                <w:szCs w:val="21"/>
                <w:lang w:val="en-US" w:eastAsia="zh-CN"/>
              </w:rPr>
              <w:t>本</w:t>
            </w:r>
            <w:r>
              <w:rPr>
                <w:rFonts w:hint="eastAsia" w:ascii="宋体" w:hAnsi="宋体" w:eastAsia="宋体" w:cs="宋体"/>
                <w:i w:val="0"/>
                <w:iCs w:val="0"/>
                <w:color w:val="auto"/>
                <w:kern w:val="0"/>
                <w:sz w:val="21"/>
                <w:szCs w:val="21"/>
                <w:u w:val="none"/>
                <w:lang w:val="en-US" w:eastAsia="zh-CN" w:bidi="ar"/>
              </w:rPr>
              <w:t>支持本地堆叠和远程堆叠，支持跨设备链路聚合，单一IP管理，分布式弹性路由；要求支持完善的堆叠裂检测机制，堆叠分裂后能自动完成MAC和IP地址的重配置，无需手动干预；</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4、</w:t>
            </w:r>
            <w:r>
              <w:rPr>
                <w:rFonts w:hint="eastAsia" w:ascii="宋体" w:hAnsi="宋体" w:cs="宋体"/>
                <w:b w:val="0"/>
                <w:bCs w:val="0"/>
                <w:color w:val="auto"/>
                <w:sz w:val="21"/>
                <w:szCs w:val="21"/>
                <w:lang w:val="en-US" w:eastAsia="zh-CN"/>
              </w:rPr>
              <w:t>支持</w:t>
            </w:r>
            <w:r>
              <w:rPr>
                <w:rFonts w:hint="eastAsia" w:ascii="宋体" w:hAnsi="宋体" w:eastAsia="宋体" w:cs="宋体"/>
                <w:i w:val="0"/>
                <w:iCs w:val="0"/>
                <w:color w:val="auto"/>
                <w:kern w:val="0"/>
                <w:sz w:val="21"/>
                <w:szCs w:val="21"/>
                <w:u w:val="none"/>
                <w:lang w:val="en-US" w:eastAsia="zh-CN" w:bidi="ar"/>
              </w:rPr>
              <w:t>最大堆叠台数9台</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5、支持基于端口的VLAN，支持基于协议的VLAN；支持基于MAC的VLAN；最大VLAN数(不是VLAN ID) 4094；</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6、</w:t>
            </w:r>
            <w:r>
              <w:rPr>
                <w:rFonts w:hint="eastAsia" w:ascii="宋体" w:hAnsi="宋体" w:cs="宋体"/>
                <w:b w:val="0"/>
                <w:bCs w:val="0"/>
                <w:color w:val="auto"/>
                <w:sz w:val="21"/>
                <w:szCs w:val="21"/>
                <w:lang w:val="en-US" w:eastAsia="zh-CN"/>
              </w:rPr>
              <w:t>产品</w:t>
            </w:r>
            <w:r>
              <w:rPr>
                <w:rFonts w:hint="eastAsia" w:ascii="宋体" w:hAnsi="宋体" w:eastAsia="宋体" w:cs="宋体"/>
                <w:i w:val="0"/>
                <w:iCs w:val="0"/>
                <w:color w:val="auto"/>
                <w:kern w:val="0"/>
                <w:sz w:val="21"/>
                <w:szCs w:val="21"/>
                <w:u w:val="none"/>
                <w:lang w:val="en-US" w:eastAsia="zh-CN" w:bidi="ar"/>
              </w:rPr>
              <w:t>支持8个端口聚合；支持128个聚合组；支持LACP；支持本地端口镜像和远程端口镜像RSPAN、支持流镜像；</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7、</w:t>
            </w:r>
            <w:r>
              <w:rPr>
                <w:rFonts w:hint="eastAsia" w:ascii="宋体" w:hAnsi="宋体" w:cs="宋体"/>
                <w:b w:val="0"/>
                <w:bCs w:val="0"/>
                <w:color w:val="auto"/>
                <w:sz w:val="21"/>
                <w:szCs w:val="21"/>
                <w:lang w:val="en-US" w:eastAsia="zh-CN"/>
              </w:rPr>
              <w:t>支持</w:t>
            </w:r>
            <w:r>
              <w:rPr>
                <w:rFonts w:hint="eastAsia" w:ascii="宋体" w:hAnsi="宋体" w:eastAsia="宋体" w:cs="宋体"/>
                <w:i w:val="0"/>
                <w:iCs w:val="0"/>
                <w:color w:val="auto"/>
                <w:kern w:val="0"/>
                <w:sz w:val="21"/>
                <w:szCs w:val="21"/>
                <w:u w:val="none"/>
                <w:lang w:val="en-US" w:eastAsia="zh-CN" w:bidi="ar"/>
              </w:rPr>
              <w:t>IGMP Snooping /MLD Proxy，支持组播VLAN；要求支持IPv4 静态路由、RIPv1/v2、OSPF，支持IPv6 静态路由、RIPng，支持IPv4和IPv6环境下的策略路由；</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8、</w:t>
            </w:r>
            <w:r>
              <w:rPr>
                <w:rFonts w:hint="eastAsia" w:ascii="宋体" w:hAnsi="宋体" w:cs="宋体"/>
                <w:b w:val="0"/>
                <w:bCs w:val="0"/>
                <w:color w:val="auto"/>
                <w:sz w:val="21"/>
                <w:szCs w:val="21"/>
                <w:lang w:val="en-US" w:eastAsia="zh-CN"/>
              </w:rPr>
              <w:t>支持</w:t>
            </w:r>
            <w:r>
              <w:rPr>
                <w:rFonts w:hint="eastAsia" w:ascii="宋体" w:hAnsi="宋体" w:eastAsia="宋体" w:cs="宋体"/>
                <w:i w:val="0"/>
                <w:iCs w:val="0"/>
                <w:color w:val="auto"/>
                <w:kern w:val="0"/>
                <w:sz w:val="21"/>
                <w:szCs w:val="21"/>
                <w:u w:val="none"/>
                <w:lang w:val="en-US" w:eastAsia="zh-CN" w:bidi="ar"/>
              </w:rPr>
              <w:t>RRPP（快速环网保护协议），环网故障恢复时间不超过50ms；支持Smartlink、支持RSTP功能、支持MSTP功能、支持PVST功能；</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keepNext w:val="0"/>
              <w:keepLines w:val="0"/>
              <w:pageBreakBefore w:val="0"/>
              <w:kinsoku/>
              <w:wordWrap/>
              <w:overflowPunct/>
              <w:topLinePunct w:val="0"/>
              <w:autoSpaceDE/>
              <w:autoSpaceDN/>
              <w:bidi w:val="0"/>
              <w:adjustRightInd/>
              <w:snapToGrid/>
              <w:spacing w:line="240" w:lineRule="auto"/>
              <w:ind w:left="0" w:leftChars="0"/>
              <w:jc w:val="left"/>
              <w:rPr>
                <w:rFonts w:hint="eastAsia"/>
                <w:vertAlign w:val="baseline"/>
              </w:rPr>
            </w:pPr>
            <w:r>
              <w:rPr>
                <w:rFonts w:hint="eastAsia" w:ascii="宋体" w:hAnsi="宋体" w:eastAsia="宋体" w:cs="宋体"/>
                <w:i w:val="0"/>
                <w:iCs w:val="0"/>
                <w:color w:val="auto"/>
                <w:kern w:val="0"/>
                <w:sz w:val="21"/>
                <w:szCs w:val="21"/>
                <w:u w:val="none"/>
                <w:lang w:val="en-US" w:eastAsia="zh-CN" w:bidi="ar"/>
              </w:rPr>
              <w:t>9、</w:t>
            </w:r>
            <w:r>
              <w:rPr>
                <w:rFonts w:hint="eastAsia" w:ascii="宋体" w:hAnsi="宋体" w:cs="宋体"/>
                <w:b w:val="0"/>
                <w:bCs w:val="0"/>
                <w:color w:val="auto"/>
                <w:sz w:val="21"/>
                <w:szCs w:val="21"/>
                <w:lang w:val="en-US" w:eastAsia="zh-CN"/>
              </w:rPr>
              <w:t>支持</w:t>
            </w:r>
            <w:r>
              <w:rPr>
                <w:rFonts w:hint="eastAsia" w:ascii="宋体" w:hAnsi="宋体" w:eastAsia="宋体" w:cs="宋体"/>
                <w:i w:val="0"/>
                <w:iCs w:val="0"/>
                <w:color w:val="auto"/>
                <w:kern w:val="0"/>
                <w:sz w:val="21"/>
                <w:szCs w:val="21"/>
                <w:u w:val="none"/>
                <w:lang w:val="en-US" w:eastAsia="zh-CN" w:bidi="ar"/>
              </w:rPr>
              <w:t>基于第二层、第三层和第四层的ACL；整机提供ACl条目数1K条；支持基于端口和VLAN的 ACL；支持IPv6 ACL；支持出方向ACL，以便于灵活实现数据包过滤；支持802.1x认证，支持集中式MAC地址认证。</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spacing w:line="240" w:lineRule="auto"/>
              <w:rPr>
                <w:rFonts w:hint="eastAsia"/>
                <w:vertAlign w:val="baseline"/>
              </w:rPr>
            </w:pPr>
            <w:r>
              <w:rPr>
                <w:rFonts w:hint="eastAsia" w:ascii="宋体" w:hAnsi="宋体" w:eastAsia="宋体" w:cs="宋体"/>
                <w:i w:val="0"/>
                <w:iCs w:val="0"/>
                <w:color w:val="auto"/>
                <w:kern w:val="0"/>
                <w:sz w:val="21"/>
                <w:szCs w:val="21"/>
                <w:u w:val="none"/>
                <w:lang w:val="en-US" w:eastAsia="zh-CN" w:bidi="ar"/>
              </w:rPr>
              <w:t>10</w:t>
            </w:r>
            <w:r>
              <w:rPr>
                <w:rFonts w:hint="eastAsia" w:ascii="宋体" w:hAnsi="宋体" w:cs="宋体"/>
                <w:b w:val="0"/>
                <w:bCs w:val="0"/>
                <w:color w:val="auto"/>
                <w:sz w:val="21"/>
                <w:szCs w:val="21"/>
                <w:lang w:val="en-US" w:eastAsia="zh-CN"/>
              </w:rPr>
              <w:t>本次所投标产品支持</w:t>
            </w:r>
            <w:r>
              <w:rPr>
                <w:rFonts w:hint="eastAsia" w:ascii="宋体" w:hAnsi="宋体" w:eastAsia="宋体" w:cs="宋体"/>
                <w:i w:val="0"/>
                <w:iCs w:val="0"/>
                <w:color w:val="auto"/>
                <w:kern w:val="0"/>
                <w:sz w:val="21"/>
                <w:szCs w:val="21"/>
                <w:u w:val="none"/>
                <w:lang w:val="en-US" w:eastAsia="zh-CN" w:bidi="ar"/>
              </w:rPr>
              <w:t>OPENFLOW 1.3标准、支持普通模式和Openflow 模式切换。</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restart"/>
            <w:vAlign w:val="center"/>
          </w:tcPr>
          <w:p>
            <w:pPr>
              <w:spacing w:line="500" w:lineRule="exact"/>
              <w:jc w:val="center"/>
              <w:rPr>
                <w:rFonts w:hint="eastAsia"/>
                <w:vertAlign w:val="baseline"/>
              </w:rPr>
            </w:pPr>
            <w:r>
              <w:rPr>
                <w:rFonts w:hint="eastAsia" w:ascii="宋体" w:hAnsi="宋体" w:cs="宋体"/>
                <w:color w:val="auto"/>
                <w:szCs w:val="21"/>
                <w:highlight w:val="none"/>
                <w:lang w:val="en-US" w:eastAsia="zh-CN"/>
              </w:rPr>
              <w:t>6</w:t>
            </w:r>
          </w:p>
        </w:tc>
        <w:tc>
          <w:tcPr>
            <w:tcW w:w="727" w:type="dxa"/>
            <w:vMerge w:val="restart"/>
            <w:vAlign w:val="center"/>
          </w:tcPr>
          <w:p>
            <w:pPr>
              <w:spacing w:line="240" w:lineRule="auto"/>
              <w:jc w:val="center"/>
              <w:rPr>
                <w:rFonts w:hint="eastAsia"/>
                <w:vertAlign w:val="baseline"/>
              </w:rPr>
            </w:pPr>
            <w:r>
              <w:rPr>
                <w:rFonts w:hint="eastAsia" w:ascii="宋体" w:hAnsi="宋体" w:eastAsia="宋体" w:cs="宋体"/>
                <w:color w:val="auto"/>
                <w:kern w:val="0"/>
                <w:sz w:val="21"/>
                <w:szCs w:val="21"/>
              </w:rPr>
              <w:t>网络微分域</w:t>
            </w:r>
            <w:r>
              <w:rPr>
                <w:rFonts w:hint="eastAsia" w:ascii="宋体" w:hAnsi="宋体" w:eastAsia="宋体" w:cs="宋体"/>
                <w:color w:val="auto"/>
                <w:kern w:val="0"/>
                <w:sz w:val="21"/>
                <w:szCs w:val="21"/>
                <w:lang w:eastAsia="zh-CN"/>
              </w:rPr>
              <w:t>安全平台</w:t>
            </w: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采用虚拟机形态本地化、分布式网络安全服务，使得业务虚拟机流量不用外出宿主机，即可高效的实现网络安全管控。</w:t>
            </w:r>
          </w:p>
        </w:tc>
        <w:tc>
          <w:tcPr>
            <w:tcW w:w="600" w:type="dxa"/>
            <w:vMerge w:val="restart"/>
            <w:vAlign w:val="center"/>
          </w:tcPr>
          <w:p>
            <w:pPr>
              <w:spacing w:line="500" w:lineRule="exact"/>
              <w:jc w:val="center"/>
              <w:rPr>
                <w:rFonts w:hint="eastAsia"/>
                <w:vertAlign w:val="baseline"/>
              </w:rPr>
            </w:pPr>
            <w:r>
              <w:rPr>
                <w:rFonts w:hint="eastAsia" w:ascii="宋体" w:hAnsi="宋体" w:cs="宋体"/>
                <w:color w:val="auto"/>
                <w:kern w:val="2"/>
                <w:sz w:val="21"/>
                <w:szCs w:val="21"/>
                <w:highlight w:val="none"/>
                <w:lang w:val="en-US" w:eastAsia="zh-CN" w:bidi="ar-SA"/>
              </w:rPr>
              <w:t>套</w:t>
            </w:r>
          </w:p>
        </w:tc>
        <w:tc>
          <w:tcPr>
            <w:tcW w:w="641" w:type="dxa"/>
            <w:vMerge w:val="restart"/>
            <w:vAlign w:val="center"/>
          </w:tcPr>
          <w:p>
            <w:pPr>
              <w:spacing w:line="500" w:lineRule="exact"/>
              <w:jc w:val="center"/>
              <w:rPr>
                <w:rFonts w:hint="eastAsia"/>
                <w:vertAlign w:val="baseline"/>
              </w:rPr>
            </w:pPr>
            <w:r>
              <w:rPr>
                <w:rFonts w:hint="eastAsia" w:ascii="宋体" w:hAnsi="宋体" w:cs="宋体"/>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pPr>
          </w:p>
        </w:tc>
        <w:tc>
          <w:tcPr>
            <w:tcW w:w="727" w:type="dxa"/>
            <w:vMerge w:val="continue"/>
            <w:vAlign w:val="center"/>
          </w:tcPr>
          <w:p>
            <w:pPr>
              <w:pStyle w:val="2"/>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sz w:val="21"/>
                <w:szCs w:val="21"/>
                <w:lang w:val="en-US" w:eastAsia="zh-CN"/>
              </w:rPr>
              <w:t>2、</w:t>
            </w:r>
            <w:r>
              <w:rPr>
                <w:rFonts w:hint="eastAsia" w:ascii="宋体" w:hAnsi="宋体" w:eastAsia="宋体" w:cs="宋体"/>
                <w:color w:val="auto"/>
                <w:kern w:val="0"/>
                <w:sz w:val="21"/>
                <w:szCs w:val="21"/>
              </w:rPr>
              <w:t>的安全服务能力，无需要求在业务虚机中额外安装第三方插件或Agent软件。为保障云基础平台的可靠性，要求不能在云基础平台中安装任何第三方插件和Agent软件。部署方式为二层透明部署。</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采用吞吐量100Gbps，可支持扩展至1Tbps；ips防护吞吐量30Gbps，可支持扩展至200Gbps；AV防护吞吐量30Gbps，可支持扩展至200Gbps；最大并发连接数3400万，可支持扩展至3.4亿，本次配置每秒新建HTTP连接数60万，可支持扩展600万，支持物理CPU数量40个；本次配置要求可防护虚拟机数量400台，配备IPS、AV模块。</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采用部署vmware标准环境5.5-7.0版本和NSX组件云环境；支持FusionSphere OpenStack、FusionCompute环境；</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采用在VMware标准环境，不依赖NSX组件或依赖第三方SDN产品方案配合</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6、</w:t>
            </w:r>
            <w:r>
              <w:rPr>
                <w:rFonts w:hint="eastAsia" w:ascii="宋体" w:hAnsi="宋体" w:eastAsia="宋体" w:cs="宋体"/>
                <w:color w:val="auto"/>
                <w:kern w:val="0"/>
                <w:sz w:val="21"/>
                <w:szCs w:val="21"/>
              </w:rPr>
              <w:t>采用在VMware标准环境 + NSX组件的云环境中，不依赖第三方SDN产品方案配合，</w:t>
            </w:r>
            <w:r>
              <w:rPr>
                <w:rFonts w:hint="eastAsia" w:ascii="宋体" w:hAnsi="宋体" w:cs="宋体"/>
                <w:color w:val="auto"/>
                <w:kern w:val="0"/>
                <w:sz w:val="21"/>
                <w:szCs w:val="21"/>
                <w:lang w:val="en-US" w:eastAsia="zh-CN"/>
              </w:rPr>
              <w:t>已</w:t>
            </w:r>
            <w:r>
              <w:rPr>
                <w:rFonts w:hint="eastAsia" w:ascii="宋体" w:hAnsi="宋体" w:eastAsia="宋体" w:cs="宋体"/>
                <w:color w:val="auto"/>
                <w:kern w:val="0"/>
                <w:sz w:val="21"/>
                <w:szCs w:val="21"/>
              </w:rPr>
              <w:t>提供云内虚机间网络微分域解决方案。支持IPv6网络环境</w:t>
            </w:r>
            <w:r>
              <w:rPr>
                <w:rFonts w:hint="eastAsia" w:ascii="宋体" w:hAnsi="宋体" w:eastAsia="宋体" w:cs="宋体"/>
                <w:color w:val="auto"/>
                <w:kern w:val="0"/>
                <w:sz w:val="21"/>
                <w:szCs w:val="21"/>
                <w:lang w:eastAsia="zh-CN"/>
              </w:rPr>
              <w:t>。</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7、</w:t>
            </w:r>
            <w:r>
              <w:rPr>
                <w:rFonts w:hint="eastAsia" w:ascii="宋体" w:hAnsi="宋体" w:eastAsia="宋体" w:cs="宋体"/>
                <w:color w:val="auto"/>
                <w:kern w:val="0"/>
                <w:sz w:val="21"/>
                <w:szCs w:val="21"/>
              </w:rPr>
              <w:t>为同一宿主机，相同VLAN内的虚拟机之间，</w:t>
            </w:r>
            <w:r>
              <w:rPr>
                <w:rFonts w:hint="eastAsia" w:ascii="宋体" w:hAnsi="宋体" w:cs="宋体"/>
                <w:color w:val="auto"/>
                <w:kern w:val="0"/>
                <w:sz w:val="21"/>
                <w:szCs w:val="21"/>
                <w:lang w:val="en-US" w:eastAsia="zh-CN"/>
              </w:rPr>
              <w:t>已</w:t>
            </w:r>
            <w:r>
              <w:rPr>
                <w:rFonts w:hint="eastAsia" w:ascii="宋体" w:hAnsi="宋体" w:eastAsia="宋体" w:cs="宋体"/>
                <w:color w:val="auto"/>
                <w:kern w:val="0"/>
                <w:sz w:val="21"/>
                <w:szCs w:val="21"/>
              </w:rPr>
              <w:t>提供网络微分域的安全管控服务</w:t>
            </w:r>
            <w:r>
              <w:rPr>
                <w:rFonts w:hint="eastAsia" w:ascii="宋体" w:hAnsi="宋体" w:eastAsia="宋体" w:cs="宋体"/>
                <w:color w:val="auto"/>
                <w:kern w:val="0"/>
                <w:sz w:val="21"/>
                <w:szCs w:val="21"/>
                <w:lang w:eastAsia="zh-CN"/>
              </w:rPr>
              <w:t>。</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8、</w:t>
            </w:r>
            <w:r>
              <w:rPr>
                <w:rFonts w:hint="eastAsia" w:ascii="宋体" w:hAnsi="宋体" w:cs="宋体"/>
                <w:b w:val="0"/>
                <w:bCs w:val="0"/>
                <w:color w:val="auto"/>
                <w:sz w:val="21"/>
                <w:szCs w:val="21"/>
                <w:lang w:val="en-US" w:eastAsia="zh-CN"/>
              </w:rPr>
              <w:t>本次所投标产品</w:t>
            </w:r>
            <w:r>
              <w:rPr>
                <w:rFonts w:hint="eastAsia" w:ascii="宋体" w:hAnsi="宋体" w:eastAsia="宋体" w:cs="宋体"/>
                <w:color w:val="auto"/>
                <w:kern w:val="0"/>
                <w:sz w:val="21"/>
                <w:szCs w:val="21"/>
              </w:rPr>
              <w:t>满足网络安全监测和防护需求，须在非NSX环境下，以及不改变业务原有三层网络结构的前提下，支持2层串行部署模式。</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具备L2-L7层安全防护服务能力，包括基础5元组控制能力，应用识别控制能力，以及网络攻击防御、IPS和AV功能。</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10、</w:t>
            </w:r>
            <w:r>
              <w:rPr>
                <w:rFonts w:hint="eastAsia" w:ascii="宋体" w:hAnsi="宋体" w:eastAsia="宋体" w:cs="宋体"/>
                <w:color w:val="auto"/>
                <w:kern w:val="0"/>
                <w:sz w:val="21"/>
                <w:szCs w:val="21"/>
              </w:rPr>
              <w:t>采用为确保安全服务的有效性，需实时掌握云环境中的资产信息和变更状况，支持对云虚机名称，IP，MAC，网络，宿主机等信息的同步和更新。</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11、</w:t>
            </w:r>
            <w:r>
              <w:rPr>
                <w:rFonts w:hint="eastAsia" w:ascii="宋体" w:hAnsi="宋体" w:eastAsia="宋体" w:cs="宋体"/>
                <w:color w:val="auto"/>
                <w:kern w:val="0"/>
                <w:sz w:val="21"/>
                <w:szCs w:val="21"/>
              </w:rPr>
              <w:t>支持会话同步能力，安全防护可随虚机迁移而自动跟随，最大限度的确保安全防护的持续性和业务连续性。</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sz w:val="21"/>
                <w:szCs w:val="21"/>
                <w:lang w:val="en-US" w:eastAsia="zh-CN"/>
              </w:rPr>
              <w:t>12、</w:t>
            </w:r>
            <w:r>
              <w:rPr>
                <w:rFonts w:hint="eastAsia" w:ascii="宋体" w:hAnsi="宋体" w:eastAsia="宋体" w:cs="宋体"/>
                <w:color w:val="auto"/>
                <w:kern w:val="0"/>
                <w:sz w:val="21"/>
                <w:szCs w:val="21"/>
              </w:rPr>
              <w:t>采用虚拟资产分布可视化，可基于虚拟网络-虚拟机分组方式管理，并呈现各分组之间和分组内部的流量交换关系。</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13、</w:t>
            </w:r>
            <w:r>
              <w:rPr>
                <w:rFonts w:hint="eastAsia" w:ascii="宋体" w:hAnsi="宋体" w:eastAsia="宋体" w:cs="宋体"/>
                <w:color w:val="auto"/>
                <w:kern w:val="0"/>
                <w:sz w:val="21"/>
                <w:szCs w:val="21"/>
              </w:rPr>
              <w:t>可基于IP地址，流量，防护状态，虚机和网络名称，应用类型，威胁名称/类型/安全级别等条件不同组合关系控制视图呈现效果</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14、</w:t>
            </w:r>
            <w:r>
              <w:rPr>
                <w:rFonts w:hint="eastAsia" w:ascii="宋体" w:hAnsi="宋体" w:eastAsia="宋体" w:cs="宋体"/>
                <w:color w:val="auto"/>
                <w:kern w:val="0"/>
                <w:sz w:val="21"/>
                <w:szCs w:val="21"/>
              </w:rPr>
              <w:t xml:space="preserve">采用分布式处理，基于状态、精准的高性能攻击检测和防御能力。 </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sz w:val="21"/>
                <w:szCs w:val="21"/>
                <w:lang w:val="en-US" w:eastAsia="zh-CN"/>
              </w:rPr>
              <w:t>15、</w:t>
            </w:r>
            <w:r>
              <w:rPr>
                <w:rFonts w:hint="eastAsia" w:ascii="宋体" w:hAnsi="宋体" w:eastAsia="宋体" w:cs="宋体"/>
                <w:color w:val="auto"/>
                <w:kern w:val="0"/>
                <w:sz w:val="21"/>
                <w:szCs w:val="21"/>
              </w:rPr>
              <w:t>采用具备7000种以上攻击特征库规则列表，支持基于协议类型、操作系统、攻击类型、流行程度、严重程度、特征ID等方式的查询；</w:t>
            </w:r>
            <w:r>
              <w:rPr>
                <w:rFonts w:hint="eastAsia" w:ascii="宋体" w:hAnsi="宋体" w:eastAsia="宋体" w:cs="宋体"/>
                <w:color w:val="auto"/>
                <w:kern w:val="0"/>
                <w:sz w:val="21"/>
                <w:szCs w:val="21"/>
                <w:lang w:eastAsia="zh-CN"/>
              </w:rPr>
              <w:t>。</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pPr>
          </w:p>
        </w:tc>
        <w:tc>
          <w:tcPr>
            <w:tcW w:w="727" w:type="dxa"/>
            <w:vMerge w:val="continue"/>
            <w:vAlign w:val="center"/>
          </w:tcPr>
          <w:p>
            <w:pPr>
              <w:pStyle w:val="2"/>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sz w:val="21"/>
                <w:szCs w:val="21"/>
                <w:lang w:val="en-US" w:eastAsia="zh-CN"/>
              </w:rPr>
              <w:t>16、</w:t>
            </w:r>
            <w:r>
              <w:rPr>
                <w:rFonts w:hint="eastAsia" w:ascii="宋体" w:hAnsi="宋体" w:eastAsia="宋体" w:cs="宋体"/>
                <w:color w:val="auto"/>
                <w:kern w:val="0"/>
                <w:sz w:val="21"/>
                <w:szCs w:val="21"/>
              </w:rPr>
              <w:t>采用4000种以上HTTP特征库规则列表</w:t>
            </w:r>
            <w:r>
              <w:rPr>
                <w:rFonts w:hint="eastAsia" w:ascii="宋体" w:hAnsi="宋体" w:eastAsia="宋体" w:cs="宋体"/>
                <w:color w:val="auto"/>
                <w:kern w:val="0"/>
                <w:sz w:val="21"/>
                <w:szCs w:val="21"/>
                <w:lang w:eastAsia="zh-CN"/>
              </w:rPr>
              <w:t>。</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17、</w:t>
            </w:r>
            <w:r>
              <w:rPr>
                <w:rFonts w:hint="eastAsia" w:ascii="宋体" w:hAnsi="宋体" w:eastAsia="宋体" w:cs="宋体"/>
                <w:color w:val="auto"/>
                <w:kern w:val="0"/>
                <w:sz w:val="21"/>
                <w:szCs w:val="21"/>
              </w:rPr>
              <w:t>采用缓冲区溢出、SQL注入、XSS防护，支持HTTP头域中的URL、Cookie、Referer、POST检查点配置防护策略；</w:t>
            </w:r>
            <w:r>
              <w:rPr>
                <w:rFonts w:hint="eastAsia" w:ascii="宋体" w:hAnsi="宋体" w:eastAsia="宋体" w:cs="宋体"/>
                <w:color w:val="auto"/>
                <w:kern w:val="0"/>
                <w:sz w:val="21"/>
                <w:szCs w:val="21"/>
                <w:lang w:eastAsia="zh-CN"/>
              </w:rPr>
              <w:t>。</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18、</w:t>
            </w:r>
            <w:r>
              <w:rPr>
                <w:rFonts w:hint="eastAsia" w:ascii="宋体" w:hAnsi="宋体" w:eastAsia="宋体" w:cs="宋体"/>
                <w:color w:val="auto"/>
                <w:kern w:val="0"/>
                <w:sz w:val="21"/>
                <w:szCs w:val="21"/>
              </w:rPr>
              <w:t>支持针对bzip、gzip、rar、tar、zip、html、jpeg、mail、riff、PE等文件类型的病毒扫描，支持针对POP3\HTTP\SMTP\IMAP4以及FTP协议病毒扫描。</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19、</w:t>
            </w:r>
            <w:r>
              <w:rPr>
                <w:rFonts w:hint="eastAsia" w:ascii="宋体" w:hAnsi="宋体" w:eastAsia="宋体" w:cs="宋体"/>
                <w:color w:val="auto"/>
                <w:kern w:val="0"/>
                <w:sz w:val="21"/>
                <w:szCs w:val="21"/>
              </w:rPr>
              <w:t>支持多层嵌套式压缩文件的病毒扫描，支持恶意网站过滤功能。具备320万条主流病毒特征库，支持手工导入或网络实时、定时更新</w:t>
            </w:r>
            <w:r>
              <w:rPr>
                <w:rFonts w:hint="eastAsia" w:ascii="宋体" w:hAnsi="宋体" w:eastAsia="宋体" w:cs="宋体"/>
                <w:color w:val="auto"/>
                <w:kern w:val="0"/>
                <w:sz w:val="21"/>
                <w:szCs w:val="21"/>
                <w:lang w:eastAsia="zh-CN"/>
              </w:rPr>
              <w:t>。</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sz w:val="21"/>
                <w:szCs w:val="21"/>
                <w:lang w:val="en-US" w:eastAsia="zh-CN"/>
              </w:rPr>
              <w:t>20、</w:t>
            </w:r>
            <w:r>
              <w:rPr>
                <w:rFonts w:hint="eastAsia" w:ascii="宋体" w:hAnsi="宋体" w:eastAsia="宋体" w:cs="宋体"/>
                <w:color w:val="auto"/>
                <w:kern w:val="0"/>
                <w:sz w:val="21"/>
                <w:szCs w:val="21"/>
              </w:rPr>
              <w:t>提供内网安全平台性能监控正式授权一套，实现内网网络监控状态、网络质量状态在线监控</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sz w:val="21"/>
                <w:szCs w:val="21"/>
                <w:lang w:val="en-US" w:eastAsia="zh-CN"/>
              </w:rPr>
              <w:t>21、</w:t>
            </w:r>
            <w:r>
              <w:rPr>
                <w:rFonts w:hint="eastAsia" w:ascii="宋体" w:hAnsi="宋体" w:eastAsia="宋体" w:cs="宋体"/>
                <w:color w:val="auto"/>
                <w:kern w:val="0"/>
                <w:sz w:val="21"/>
                <w:szCs w:val="21"/>
              </w:rPr>
              <w:t>支持虚拟化平台网络、业务状态监控，包括丢包、延时、抖动等参数</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sz w:val="21"/>
                <w:szCs w:val="21"/>
                <w:lang w:val="en-US" w:eastAsia="zh-CN"/>
              </w:rPr>
              <w:t>22、</w:t>
            </w:r>
            <w:r>
              <w:rPr>
                <w:rFonts w:hint="eastAsia" w:ascii="宋体" w:hAnsi="宋体" w:eastAsia="宋体" w:cs="宋体"/>
                <w:color w:val="auto"/>
                <w:kern w:val="0"/>
                <w:sz w:val="21"/>
                <w:szCs w:val="21"/>
              </w:rPr>
              <w:t>支持设置关键参数阈值，如：CPU、内存、丢包、延时、抖动等，对关键业务提供监测告警功能</w:t>
            </w:r>
            <w:r>
              <w:rPr>
                <w:rFonts w:hint="eastAsia" w:ascii="宋体" w:hAnsi="宋体" w:eastAsia="宋体" w:cs="宋体"/>
                <w:color w:val="auto"/>
                <w:kern w:val="0"/>
                <w:sz w:val="21"/>
                <w:szCs w:val="21"/>
                <w:lang w:eastAsia="zh-CN"/>
              </w:rPr>
              <w:t>。</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4"/>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sz w:val="21"/>
                <w:szCs w:val="21"/>
                <w:lang w:val="en-US" w:eastAsia="zh-CN"/>
              </w:rPr>
              <w:t>1.</w:t>
            </w:r>
            <w:r>
              <w:rPr>
                <w:rFonts w:hint="eastAsia" w:ascii="宋体" w:hAnsi="宋体" w:eastAsia="宋体" w:cs="宋体"/>
                <w:color w:val="auto"/>
                <w:kern w:val="0"/>
                <w:sz w:val="21"/>
                <w:szCs w:val="21"/>
              </w:rPr>
              <w:t>为方便管理员制定安全策略，需支持流量学习和安全策略配置的策略助手功能，提高工作效率。</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4"/>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为了能与云管平台协同、自动化工作，RestAPI接口能力，实现产品主要功能特性的对接调用。</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4"/>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为改善安全策略的管理有效率，提升安全服务运行效率，支持对安全策略冗余检测，以及重叠性检查能力。</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23、</w:t>
            </w:r>
            <w:r>
              <w:rPr>
                <w:rFonts w:hint="eastAsia" w:ascii="宋体" w:hAnsi="宋体" w:cs="宋体"/>
                <w:b w:val="0"/>
                <w:bCs w:val="0"/>
                <w:color w:val="auto"/>
                <w:sz w:val="21"/>
                <w:szCs w:val="21"/>
                <w:lang w:val="en-US" w:eastAsia="zh-CN"/>
              </w:rPr>
              <w:t>本次所投标产品</w:t>
            </w:r>
            <w:r>
              <w:rPr>
                <w:rFonts w:hint="eastAsia" w:ascii="宋体" w:hAnsi="宋体" w:eastAsia="宋体" w:cs="宋体"/>
                <w:color w:val="auto"/>
                <w:kern w:val="0"/>
                <w:sz w:val="21"/>
                <w:szCs w:val="21"/>
              </w:rPr>
              <w:t>采用支持与FireMon和Algosec统一安全策略管理平台联动，实现大规模配置的自动整理收敛。</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24、</w:t>
            </w:r>
            <w:r>
              <w:rPr>
                <w:rFonts w:hint="eastAsia" w:ascii="宋体" w:hAnsi="宋体" w:cs="宋体"/>
                <w:color w:val="auto"/>
                <w:kern w:val="0"/>
                <w:sz w:val="21"/>
                <w:szCs w:val="21"/>
                <w:lang w:val="en-US" w:eastAsia="zh-Hans"/>
              </w:rPr>
              <w:t>具</w:t>
            </w:r>
            <w:r>
              <w:rPr>
                <w:rFonts w:hint="eastAsia" w:ascii="宋体" w:hAnsi="宋体" w:eastAsia="宋体" w:cs="宋体"/>
                <w:color w:val="auto"/>
                <w:kern w:val="0"/>
                <w:sz w:val="21"/>
                <w:szCs w:val="21"/>
              </w:rPr>
              <w:t>有虚拟化微隔离系统著作权，以及相关测试报告；</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pStyle w:val="22"/>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hanging="420" w:firstLineChars="0"/>
              <w:jc w:val="left"/>
              <w:rPr>
                <w:rFonts w:hint="eastAsia"/>
                <w:vertAlign w:val="baseline"/>
              </w:rPr>
            </w:pPr>
            <w:r>
              <w:rPr>
                <w:rFonts w:hint="eastAsia" w:ascii="宋体" w:hAnsi="宋体" w:eastAsia="宋体" w:cs="宋体"/>
                <w:color w:val="auto"/>
                <w:kern w:val="0"/>
                <w:sz w:val="21"/>
                <w:szCs w:val="21"/>
                <w:lang w:val="en-US" w:eastAsia="zh-CN"/>
              </w:rPr>
              <w:t>25、</w:t>
            </w:r>
            <w:r>
              <w:rPr>
                <w:rFonts w:hint="eastAsia" w:ascii="宋体" w:hAnsi="宋体" w:eastAsia="宋体" w:cs="宋体"/>
                <w:color w:val="auto"/>
                <w:kern w:val="0"/>
                <w:sz w:val="21"/>
                <w:szCs w:val="21"/>
              </w:rPr>
              <w:t>具备公安部颁发的“虚拟化云安全防火墙销售许可证”增强级；</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trPr>
        <w:tc>
          <w:tcPr>
            <w:tcW w:w="552" w:type="dxa"/>
            <w:vMerge w:val="continue"/>
            <w:vAlign w:val="center"/>
          </w:tcPr>
          <w:p>
            <w:pPr>
              <w:pStyle w:val="2"/>
              <w:rPr>
                <w:rFonts w:hint="eastAsia"/>
                <w:vertAlign w:val="baseline"/>
              </w:rPr>
            </w:pPr>
          </w:p>
        </w:tc>
        <w:tc>
          <w:tcPr>
            <w:tcW w:w="727" w:type="dxa"/>
            <w:vMerge w:val="continue"/>
            <w:vAlign w:val="center"/>
          </w:tcPr>
          <w:p>
            <w:pPr>
              <w:pStyle w:val="2"/>
              <w:rPr>
                <w:rFonts w:hint="eastAsia"/>
                <w:vertAlign w:val="baseline"/>
              </w:rPr>
            </w:pPr>
          </w:p>
        </w:tc>
        <w:tc>
          <w:tcPr>
            <w:tcW w:w="11654" w:type="dxa"/>
            <w:vAlign w:val="top"/>
          </w:tcPr>
          <w:p>
            <w:pPr>
              <w:spacing w:line="240" w:lineRule="auto"/>
              <w:rPr>
                <w:rFonts w:hint="eastAsia"/>
                <w:vertAlign w:val="baseline"/>
              </w:rPr>
            </w:pPr>
            <w:r>
              <w:rPr>
                <w:rFonts w:hint="eastAsia" w:ascii="宋体" w:hAnsi="宋体" w:eastAsia="宋体" w:cs="宋体"/>
                <w:color w:val="auto"/>
                <w:kern w:val="0"/>
                <w:sz w:val="21"/>
                <w:szCs w:val="21"/>
                <w:lang w:val="en-US" w:eastAsia="zh-CN"/>
              </w:rPr>
              <w:t>26、</w:t>
            </w:r>
            <w:r>
              <w:rPr>
                <w:rFonts w:hint="eastAsia" w:ascii="宋体" w:hAnsi="宋体" w:eastAsia="宋体" w:cs="宋体"/>
                <w:color w:val="auto"/>
                <w:kern w:val="0"/>
                <w:sz w:val="21"/>
                <w:szCs w:val="21"/>
              </w:rPr>
              <w:t>提供三年IPS、AV、应用特征库升级及硬件保修、软件升级服务。</w:t>
            </w:r>
          </w:p>
        </w:tc>
        <w:tc>
          <w:tcPr>
            <w:tcW w:w="600" w:type="dxa"/>
            <w:vMerge w:val="continue"/>
            <w:vAlign w:val="center"/>
          </w:tcPr>
          <w:p>
            <w:pPr>
              <w:pStyle w:val="2"/>
              <w:rPr>
                <w:rFonts w:hint="eastAsia"/>
                <w:vertAlign w:val="baseline"/>
              </w:rPr>
            </w:pPr>
          </w:p>
        </w:tc>
        <w:tc>
          <w:tcPr>
            <w:tcW w:w="641" w:type="dxa"/>
            <w:vMerge w:val="continue"/>
            <w:vAlign w:val="center"/>
          </w:tcPr>
          <w:p>
            <w:pPr>
              <w:pStyle w:val="2"/>
              <w:rPr>
                <w:rFonts w:hint="eastAsia"/>
                <w:vertAlign w:val="baseline"/>
              </w:rPr>
            </w:pPr>
          </w:p>
        </w:tc>
      </w:tr>
    </w:tbl>
    <w:p>
      <w:pPr>
        <w:pStyle w:val="2"/>
        <w:rPr>
          <w:rFonts w:hint="eastAsia"/>
        </w:rPr>
      </w:pPr>
    </w:p>
    <w:p>
      <w:pPr>
        <w:sectPr>
          <w:pgSz w:w="16838" w:h="11906" w:orient="landscape"/>
          <w:pgMar w:top="1800" w:right="1440" w:bottom="1800" w:left="1440" w:header="851" w:footer="992" w:gutter="0"/>
          <w:cols w:space="425" w:num="1"/>
          <w:docGrid w:type="lines" w:linePitch="312" w:charSpace="0"/>
        </w:sectPr>
      </w:pPr>
    </w:p>
    <w:p>
      <w:pPr>
        <w:snapToGrid w:val="0"/>
        <w:spacing w:line="360" w:lineRule="auto"/>
        <w:rPr>
          <w:rFonts w:ascii="宋体"/>
          <w:sz w:val="28"/>
          <w:szCs w:val="28"/>
        </w:rPr>
      </w:pPr>
      <w:r>
        <w:rPr>
          <w:rFonts w:hint="eastAsia" w:ascii="宋体" w:hAnsi="宋体" w:cs="宋体"/>
          <w:b/>
          <w:bCs/>
          <w:kern w:val="0"/>
          <w:sz w:val="28"/>
          <w:szCs w:val="28"/>
        </w:rPr>
        <w:t>附</w:t>
      </w:r>
      <w:r>
        <w:rPr>
          <w:rFonts w:ascii="宋体" w:hAnsi="宋体" w:cs="宋体"/>
          <w:b/>
          <w:bCs/>
          <w:kern w:val="0"/>
          <w:sz w:val="28"/>
          <w:szCs w:val="28"/>
        </w:rPr>
        <w:t>3</w:t>
      </w:r>
      <w:r>
        <w:rPr>
          <w:rFonts w:hint="eastAsia" w:ascii="宋体" w:hAnsi="宋体" w:cs="宋体"/>
          <w:b/>
          <w:bCs/>
          <w:kern w:val="0"/>
          <w:sz w:val="28"/>
          <w:szCs w:val="28"/>
        </w:rPr>
        <w:t>：</w:t>
      </w:r>
      <w:r>
        <w:rPr>
          <w:rFonts w:ascii="宋体" w:hAnsi="宋体" w:cs="宋体"/>
          <w:b/>
          <w:bCs/>
          <w:kern w:val="0"/>
          <w:sz w:val="28"/>
          <w:szCs w:val="28"/>
        </w:rPr>
        <w:t xml:space="preserve">   </w:t>
      </w:r>
      <w:r>
        <w:rPr>
          <w:rFonts w:ascii="宋体" w:hAnsi="宋体" w:cs="宋体"/>
          <w:kern w:val="0"/>
          <w:sz w:val="28"/>
          <w:szCs w:val="28"/>
        </w:rPr>
        <w:t xml:space="preserve">         </w:t>
      </w:r>
      <w:r>
        <w:rPr>
          <w:rFonts w:ascii="宋体" w:hAnsi="宋体" w:cs="宋体"/>
          <w:sz w:val="28"/>
          <w:szCs w:val="28"/>
        </w:rPr>
        <w:t xml:space="preserve">      </w:t>
      </w:r>
    </w:p>
    <w:p>
      <w:pPr>
        <w:snapToGrid w:val="0"/>
        <w:spacing w:line="360" w:lineRule="auto"/>
        <w:rPr>
          <w:rFonts w:hint="eastAsia" w:ascii="宋体" w:hAnsi="宋体" w:eastAsia="宋体" w:cs="宋体"/>
          <w:sz w:val="24"/>
          <w:szCs w:val="24"/>
        </w:rPr>
      </w:pPr>
      <w:r>
        <w:rPr>
          <w:rFonts w:ascii="宋体" w:hAnsi="宋体" w:cs="宋体"/>
          <w:b/>
          <w:bCs/>
          <w:sz w:val="28"/>
          <w:szCs w:val="28"/>
        </w:rPr>
        <w:t xml:space="preserve">                  </w:t>
      </w:r>
      <w:r>
        <w:rPr>
          <w:rFonts w:ascii="宋体" w:hAnsi="宋体" w:cs="宋体"/>
          <w:b/>
          <w:bCs/>
          <w:sz w:val="36"/>
          <w:szCs w:val="36"/>
        </w:rPr>
        <w:t xml:space="preserve"> </w:t>
      </w:r>
      <w:r>
        <w:rPr>
          <w:rFonts w:hint="eastAsia" w:ascii="宋体" w:hAnsi="宋体" w:cs="宋体"/>
          <w:b/>
          <w:bCs/>
          <w:sz w:val="36"/>
          <w:szCs w:val="36"/>
        </w:rPr>
        <w:t>售后服务计划及保障措施</w:t>
      </w:r>
    </w:p>
    <w:p>
      <w:pPr>
        <w:bidi w:val="0"/>
        <w:spacing w:line="360" w:lineRule="auto"/>
        <w:rPr>
          <w:rFonts w:hint="eastAsia" w:ascii="宋体" w:hAnsi="宋体" w:eastAsia="宋体" w:cs="宋体"/>
        </w:rPr>
      </w:pPr>
      <w:r>
        <w:rPr>
          <w:rFonts w:hint="eastAsia" w:ascii="宋体" w:hAnsi="宋体" w:eastAsia="宋体" w:cs="宋体"/>
        </w:rPr>
        <w:t>售后服务及培训计划</w:t>
      </w:r>
    </w:p>
    <w:p>
      <w:pPr>
        <w:bidi w:val="0"/>
        <w:spacing w:line="360" w:lineRule="auto"/>
        <w:ind w:firstLine="420" w:firstLineChars="200"/>
        <w:rPr>
          <w:rFonts w:hint="eastAsia" w:ascii="宋体" w:hAnsi="宋体" w:eastAsia="宋体" w:cs="宋体"/>
        </w:rPr>
      </w:pPr>
      <w:r>
        <w:rPr>
          <w:rFonts w:hint="eastAsia" w:ascii="宋体" w:hAnsi="宋体" w:eastAsia="宋体" w:cs="宋体"/>
        </w:rPr>
        <w:t>针对</w:t>
      </w:r>
      <w:r>
        <w:rPr>
          <w:rFonts w:hint="eastAsia" w:ascii="宋体" w:hAnsi="宋体" w:eastAsia="宋体" w:cs="宋体"/>
          <w:lang w:eastAsia="zh-CN"/>
        </w:rPr>
        <w:t>郑州大学中原网络安全研究院工业互联网安全实验室项目</w:t>
      </w:r>
      <w:r>
        <w:rPr>
          <w:rFonts w:hint="eastAsia" w:ascii="宋体" w:hAnsi="宋体" w:eastAsia="宋体" w:cs="宋体"/>
        </w:rPr>
        <w:t xml:space="preserve">（招标编号： 郑大-竞谈-2021-0147 ），我公司承诺投标产品的质量保证期（即保修期）为 </w:t>
      </w:r>
      <w:r>
        <w:rPr>
          <w:rFonts w:hint="eastAsia" w:ascii="宋体" w:hAnsi="宋体" w:eastAsia="宋体" w:cs="宋体"/>
          <w:lang w:val="en-US" w:eastAsia="zh-CN"/>
        </w:rPr>
        <w:t>1</w:t>
      </w:r>
      <w:r>
        <w:rPr>
          <w:rFonts w:hint="eastAsia" w:ascii="宋体" w:hAnsi="宋体" w:eastAsia="宋体" w:cs="宋体"/>
        </w:rPr>
        <w:t xml:space="preserve">年，提供 </w:t>
      </w:r>
      <w:r>
        <w:rPr>
          <w:rFonts w:hint="eastAsia" w:ascii="宋体" w:hAnsi="宋体" w:eastAsia="宋体" w:cs="宋体"/>
          <w:lang w:val="en-US" w:eastAsia="zh-CN"/>
        </w:rPr>
        <w:t>1</w:t>
      </w:r>
      <w:r>
        <w:rPr>
          <w:rFonts w:hint="eastAsia" w:ascii="宋体" w:hAnsi="宋体" w:eastAsia="宋体" w:cs="宋体"/>
        </w:rPr>
        <w:t>年免费原厂技术支持与上门售后服务，质保期内提供免费升级服务。服务时间从自验收合格之日起计算。</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6"/>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维修响应时间</w:t>
      </w:r>
    </w:p>
    <w:p>
      <w:pPr>
        <w:bidi w:val="0"/>
        <w:spacing w:line="360" w:lineRule="auto"/>
        <w:ind w:firstLine="420" w:firstLineChars="200"/>
        <w:rPr>
          <w:rFonts w:hint="eastAsia" w:ascii="宋体" w:hAnsi="宋体" w:eastAsia="宋体" w:cs="宋体"/>
        </w:rPr>
      </w:pPr>
      <w:r>
        <w:rPr>
          <w:rFonts w:hint="eastAsia" w:ascii="宋体" w:hAnsi="宋体" w:eastAsia="宋体" w:cs="宋体"/>
        </w:rPr>
        <w:t>我公司承诺就所提供的设备发生故障造成较大影响时，在接到用户保修之后在保修期内对影响生产的软件故障提供 7*24 服务，1 小时内响应，2 小时内提供补救方案，4 小时内恢复；提供 7×24 小时售后服务响应机制。</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6"/>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巡检巡修方案</w:t>
      </w:r>
    </w:p>
    <w:p>
      <w:pPr>
        <w:bidi w:val="0"/>
        <w:spacing w:line="360" w:lineRule="auto"/>
        <w:ind w:firstLine="420" w:firstLineChars="200"/>
        <w:rPr>
          <w:rFonts w:hint="eastAsia" w:ascii="宋体" w:hAnsi="宋体" w:eastAsia="宋体" w:cs="宋体"/>
        </w:rPr>
      </w:pPr>
      <w:r>
        <w:rPr>
          <w:rFonts w:hint="eastAsia" w:ascii="宋体" w:hAnsi="宋体" w:eastAsia="宋体" w:cs="宋体"/>
        </w:rPr>
        <w:t>在质保期内，我公司提供一月 1 次的电话巡检和每季度 1 次的现场巡检。</w:t>
      </w:r>
    </w:p>
    <w:p>
      <w:pPr>
        <w:bidi w:val="0"/>
        <w:spacing w:line="360" w:lineRule="auto"/>
        <w:ind w:firstLine="420" w:firstLineChars="200"/>
        <w:rPr>
          <w:rFonts w:hint="eastAsia" w:ascii="宋体" w:hAnsi="宋体" w:eastAsia="宋体" w:cs="宋体"/>
        </w:rPr>
      </w:pPr>
      <w:r>
        <w:rPr>
          <w:rFonts w:hint="eastAsia" w:ascii="宋体" w:hAnsi="宋体" w:eastAsia="宋体" w:cs="宋体"/>
        </w:rPr>
        <w:t>每次巡检时，我公司将对设备的以下情况进行检查：</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7" name="图片 3"/>
            <wp:cNvGraphicFramePr/>
            <a:graphic xmlns:a="http://schemas.openxmlformats.org/drawingml/2006/main">
              <a:graphicData uri="http://schemas.openxmlformats.org/drawingml/2006/picture">
                <pic:pic xmlns:pic="http://schemas.openxmlformats.org/drawingml/2006/picture">
                  <pic:nvPicPr>
                    <pic:cNvPr id="7" name="图片 3"/>
                    <pic:cNvPicPr/>
                  </pic:nvPicPr>
                  <pic:blipFill>
                    <a:blip r:embed="rId7"/>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设备资源状态</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13" name="图片 4"/>
            <wp:cNvGraphicFramePr/>
            <a:graphic xmlns:a="http://schemas.openxmlformats.org/drawingml/2006/main">
              <a:graphicData uri="http://schemas.openxmlformats.org/drawingml/2006/picture">
                <pic:pic xmlns:pic="http://schemas.openxmlformats.org/drawingml/2006/picture">
                  <pic:nvPicPr>
                    <pic:cNvPr id="13" name="图片 4"/>
                    <pic:cNvPicPr/>
                  </pic:nvPicPr>
                  <pic:blipFill>
                    <a:blip r:embed="rId7"/>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系统性能</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14" name="图片 5"/>
            <wp:cNvGraphicFramePr/>
            <a:graphic xmlns:a="http://schemas.openxmlformats.org/drawingml/2006/main">
              <a:graphicData uri="http://schemas.openxmlformats.org/drawingml/2006/picture">
                <pic:pic xmlns:pic="http://schemas.openxmlformats.org/drawingml/2006/picture">
                  <pic:nvPicPr>
                    <pic:cNvPr id="14" name="图片 5"/>
                    <pic:cNvPicPr/>
                  </pic:nvPicPr>
                  <pic:blipFill>
                    <a:blip r:embed="rId7"/>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运行状况调查</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19" name="图片 6"/>
            <wp:cNvGraphicFramePr/>
            <a:graphic xmlns:a="http://schemas.openxmlformats.org/drawingml/2006/main">
              <a:graphicData uri="http://schemas.openxmlformats.org/drawingml/2006/picture">
                <pic:pic xmlns:pic="http://schemas.openxmlformats.org/drawingml/2006/picture">
                  <pic:nvPicPr>
                    <pic:cNvPr id="19" name="图片 6"/>
                    <pic:cNvPicPr/>
                  </pic:nvPicPr>
                  <pic:blipFill>
                    <a:blip r:embed="rId7"/>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设备安装情况</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16" name="图片 7"/>
            <wp:cNvGraphicFramePr/>
            <a:graphic xmlns:a="http://schemas.openxmlformats.org/drawingml/2006/main">
              <a:graphicData uri="http://schemas.openxmlformats.org/drawingml/2006/picture">
                <pic:pic xmlns:pic="http://schemas.openxmlformats.org/drawingml/2006/picture">
                  <pic:nvPicPr>
                    <pic:cNvPr id="16" name="图片 7"/>
                    <pic:cNvPicPr/>
                  </pic:nvPicPr>
                  <pic:blipFill>
                    <a:blip r:embed="rId8"/>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物理状态检查</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7"/>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设备资源状态</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系统性能</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12" name="图片 10"/>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7"/>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日常情况搜集</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95250" cy="168275"/>
            <wp:effectExtent l="0" t="0" r="6350" b="8255"/>
            <wp:docPr id="17" name="图片 11"/>
            <wp:cNvGraphicFramePr/>
            <a:graphic xmlns:a="http://schemas.openxmlformats.org/drawingml/2006/main">
              <a:graphicData uri="http://schemas.openxmlformats.org/drawingml/2006/picture">
                <pic:pic xmlns:pic="http://schemas.openxmlformats.org/drawingml/2006/picture">
                  <pic:nvPicPr>
                    <pic:cNvPr id="17" name="图片 11"/>
                    <pic:cNvPicPr/>
                  </pic:nvPicPr>
                  <pic:blipFill>
                    <a:blip r:embed="rId7"/>
                    <a:stretch>
                      <a:fillRect/>
                    </a:stretch>
                  </pic:blipFill>
                  <pic:spPr>
                    <a:xfrm>
                      <a:off x="0" y="0"/>
                      <a:ext cx="95250" cy="168275"/>
                    </a:xfrm>
                    <a:prstGeom prst="rect">
                      <a:avLst/>
                    </a:prstGeom>
                    <a:noFill/>
                    <a:ln>
                      <a:noFill/>
                    </a:ln>
                  </pic:spPr>
                </pic:pic>
              </a:graphicData>
            </a:graphic>
          </wp:inline>
        </w:drawing>
      </w:r>
      <w:r>
        <w:rPr>
          <w:rFonts w:hint="eastAsia" w:ascii="宋体" w:hAnsi="宋体" w:eastAsia="宋体" w:cs="宋体"/>
        </w:rPr>
        <w:t xml:space="preserve">  策略配置情况</w:t>
      </w:r>
    </w:p>
    <w:p>
      <w:pPr>
        <w:bidi w:val="0"/>
        <w:spacing w:line="360" w:lineRule="auto"/>
        <w:ind w:firstLine="420" w:firstLineChars="200"/>
        <w:rPr>
          <w:rFonts w:hint="eastAsia" w:ascii="宋体" w:hAnsi="宋体" w:eastAsia="宋体" w:cs="宋体"/>
        </w:rPr>
      </w:pPr>
      <w:r>
        <w:rPr>
          <w:rFonts w:hint="eastAsia" w:ascii="宋体" w:hAnsi="宋体" w:eastAsia="宋体" w:cs="宋体"/>
        </w:rPr>
        <w:t>每次巡检结束之后，我公司将向用户提交巡检报告，报告内容包括： 系统性 能、运行状况、稳定程度等，并对系统的优化和今后运行维护给出建议。</w:t>
      </w:r>
    </w:p>
    <w:p>
      <w:pPr>
        <w:bidi w:val="0"/>
        <w:spacing w:line="360" w:lineRule="auto"/>
        <w:rPr>
          <w:rFonts w:hint="eastAsia" w:ascii="宋体" w:hAnsi="宋体" w:eastAsia="宋体" w:cs="宋体"/>
        </w:rPr>
      </w:pPr>
      <w:r>
        <w:rPr>
          <w:rFonts w:hint="eastAsia" w:ascii="宋体" w:hAnsi="宋体" w:eastAsia="宋体" w:cs="宋体"/>
        </w:rPr>
        <w:t>另外，每年度我公司将向用户提交《年度产品运行报告》</w:t>
      </w:r>
      <w:r>
        <w:rPr>
          <w:rFonts w:hint="eastAsia" w:ascii="宋体" w:hAnsi="宋体" w:eastAsia="宋体" w:cs="宋体"/>
        </w:rPr>
        <w:drawing>
          <wp:inline distT="0" distB="0" distL="114300" distR="114300">
            <wp:extent cx="109855" cy="168275"/>
            <wp:effectExtent l="0" t="0" r="17145" b="8255"/>
            <wp:docPr id="18" name="图片 12"/>
            <wp:cNvGraphicFramePr/>
            <a:graphic xmlns:a="http://schemas.openxmlformats.org/drawingml/2006/main">
              <a:graphicData uri="http://schemas.openxmlformats.org/drawingml/2006/picture">
                <pic:pic xmlns:pic="http://schemas.openxmlformats.org/drawingml/2006/picture">
                  <pic:nvPicPr>
                    <pic:cNvPr id="18" name="图片 12"/>
                    <pic:cNvPicPr/>
                  </pic:nvPicPr>
                  <pic:blipFill>
                    <a:blip r:embed="rId9"/>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巡检方式</w:t>
      </w:r>
    </w:p>
    <w:p>
      <w:pPr>
        <w:bidi w:val="0"/>
        <w:spacing w:line="360" w:lineRule="auto"/>
        <w:rPr>
          <w:rFonts w:hint="eastAsia" w:ascii="宋体" w:hAnsi="宋体" w:eastAsia="宋体" w:cs="宋体"/>
        </w:rPr>
      </w:pPr>
      <w:r>
        <w:rPr>
          <w:rFonts w:hint="eastAsia" w:ascii="宋体" w:hAnsi="宋体" w:eastAsia="宋体" w:cs="宋体"/>
        </w:rPr>
        <w:t>我公司提供两者巡检方式：</w:t>
      </w:r>
    </w:p>
    <w:p>
      <w:pPr>
        <w:bidi w:val="0"/>
        <w:spacing w:line="360" w:lineRule="auto"/>
        <w:rPr>
          <w:rFonts w:hint="eastAsia" w:ascii="宋体" w:hAnsi="宋体" w:eastAsia="宋体" w:cs="宋体"/>
        </w:rPr>
      </w:pPr>
      <w:r>
        <w:rPr>
          <w:rFonts w:hint="eastAsia" w:ascii="宋体" w:hAnsi="宋体" w:eastAsia="宋体" w:cs="宋体"/>
        </w:rPr>
        <w:t>1.电话巡检</w:t>
      </w:r>
    </w:p>
    <w:p>
      <w:pPr>
        <w:bidi w:val="0"/>
        <w:spacing w:line="360" w:lineRule="auto"/>
        <w:rPr>
          <w:rFonts w:hint="eastAsia" w:ascii="宋体" w:hAnsi="宋体" w:eastAsia="宋体" w:cs="宋体"/>
        </w:rPr>
      </w:pPr>
      <w:r>
        <w:rPr>
          <w:rFonts w:hint="eastAsia" w:ascii="宋体" w:hAnsi="宋体" w:eastAsia="宋体" w:cs="宋体"/>
        </w:rPr>
        <w:t>2.现场巡检</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10" name="图片 13"/>
            <wp:cNvGraphicFramePr/>
            <a:graphic xmlns:a="http://schemas.openxmlformats.org/drawingml/2006/main">
              <a:graphicData uri="http://schemas.openxmlformats.org/drawingml/2006/picture">
                <pic:pic xmlns:pic="http://schemas.openxmlformats.org/drawingml/2006/picture">
                  <pic:nvPicPr>
                    <pic:cNvPr id="10" name="图片 13"/>
                    <pic:cNvPicPr/>
                  </pic:nvPicPr>
                  <pic:blipFill>
                    <a:blip r:embed="rId6"/>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巡检频率</w:t>
      </w:r>
    </w:p>
    <w:tbl>
      <w:tblPr>
        <w:tblStyle w:val="23"/>
        <w:tblpPr w:leftFromText="180" w:rightFromText="180" w:vertAnchor="text" w:tblpXSpec="center" w:tblpY="1"/>
        <w:tblOverlap w:val="never"/>
        <w:tblW w:w="76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65"/>
        <w:gridCol w:w="5334"/>
      </w:tblGrid>
      <w:tr>
        <w:trPr>
          <w:cantSplit/>
          <w:trHeight w:val="303" w:hRule="atLeast"/>
        </w:trPr>
        <w:tc>
          <w:tcPr>
            <w:tcW w:w="2365" w:type="dxa"/>
            <w:shd w:val="clear" w:color="auto" w:fill="FEF2CC"/>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t>巡检方式</w:t>
            </w:r>
          </w:p>
        </w:tc>
        <w:tc>
          <w:tcPr>
            <w:tcW w:w="5334" w:type="dxa"/>
            <w:shd w:val="clear" w:color="auto" w:fill="FEF2CC"/>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t>巡检频率</w:t>
            </w:r>
          </w:p>
        </w:tc>
      </w:tr>
      <w:tr>
        <w:trPr>
          <w:cantSplit/>
          <w:trHeight w:val="90" w:hRule="atLeast"/>
        </w:trPr>
        <w:tc>
          <w:tcPr>
            <w:tcW w:w="2365" w:type="dxa"/>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t>电话巡检</w:t>
            </w:r>
          </w:p>
        </w:tc>
        <w:tc>
          <w:tcPr>
            <w:tcW w:w="5334" w:type="dxa"/>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t>一月 1 次</w:t>
            </w:r>
          </w:p>
        </w:tc>
      </w:tr>
      <w:tr>
        <w:trPr>
          <w:cantSplit/>
          <w:trHeight w:val="90" w:hRule="atLeast"/>
        </w:trPr>
        <w:tc>
          <w:tcPr>
            <w:tcW w:w="2365" w:type="dxa"/>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t>现场巡检</w:t>
            </w:r>
          </w:p>
        </w:tc>
        <w:tc>
          <w:tcPr>
            <w:tcW w:w="5334" w:type="dxa"/>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t>每季度 1 次</w:t>
            </w:r>
          </w:p>
        </w:tc>
      </w:tr>
    </w:tbl>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8" name="图片 14"/>
            <wp:cNvGraphicFramePr/>
            <a:graphic xmlns:a="http://schemas.openxmlformats.org/drawingml/2006/main">
              <a:graphicData uri="http://schemas.openxmlformats.org/drawingml/2006/picture">
                <pic:pic xmlns:pic="http://schemas.openxmlformats.org/drawingml/2006/picture">
                  <pic:nvPicPr>
                    <pic:cNvPr id="8" name="图片 14"/>
                    <pic:cNvPicPr/>
                  </pic:nvPicPr>
                  <pic:blipFill>
                    <a:blip r:embed="rId10"/>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培训计划</w:t>
      </w:r>
    </w:p>
    <w:p>
      <w:pPr>
        <w:bidi w:val="0"/>
        <w:spacing w:line="360" w:lineRule="auto"/>
        <w:ind w:firstLine="420" w:firstLineChars="200"/>
        <w:rPr>
          <w:rFonts w:hint="eastAsia" w:ascii="宋体" w:hAnsi="宋体" w:eastAsia="宋体" w:cs="宋体"/>
        </w:rPr>
      </w:pPr>
      <w:r>
        <w:rPr>
          <w:rFonts w:hint="eastAsia" w:ascii="宋体" w:hAnsi="宋体" w:eastAsia="宋体" w:cs="宋体"/>
        </w:rPr>
        <w:t>我方承诺，经过培训后，确保最终用户的网络安全维护人员及普通用户能够 对网络攻防基础知识、内置安全产品操作有所了解。熟悉目前系统中产品的原理、 部署，充分掌握维护系统、产品正常运行的技术知识，从而快捷的维护本次采购 的设备的日常运行，能够独立地对设备进行管理、维护，而不需厂商技术人员实 时在场指导，能够独立解决系统、产品使用中的一般故障，能根据需求的变化， 对产品配置进行调整，保证系统、产品长期的运行。</w:t>
      </w:r>
    </w:p>
    <w:p>
      <w:pPr>
        <w:bidi w:val="0"/>
        <w:spacing w:line="360" w:lineRule="auto"/>
        <w:rPr>
          <w:rFonts w:hint="eastAsia" w:ascii="宋体" w:hAnsi="宋体" w:eastAsia="宋体" w:cs="宋体"/>
        </w:rPr>
      </w:pPr>
      <w:r>
        <w:rPr>
          <w:rFonts w:hint="eastAsia" w:ascii="宋体" w:hAnsi="宋体" w:eastAsia="宋体" w:cs="宋体"/>
        </w:rPr>
        <w:t>基于对本项目极为重视，根据本项目的情况制定了详细的技术培训方案，在 该方案中，我公司将安排原厂商专业的培训讲师，使最终用户相关人员在培训后 能够独立地对安全系统进行管理和维护。我公司的培训内容将包括所提供系统的 结构、性能、维护、定制和升级等各个方面，并提供全套培训课程计划表。</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培训目的</w:t>
      </w:r>
    </w:p>
    <w:p>
      <w:pPr>
        <w:bidi w:val="0"/>
        <w:spacing w:line="360" w:lineRule="auto"/>
        <w:rPr>
          <w:rFonts w:hint="eastAsia" w:ascii="宋体" w:hAnsi="宋体" w:eastAsia="宋体" w:cs="宋体"/>
        </w:rPr>
      </w:pPr>
      <w:r>
        <w:rPr>
          <w:rFonts w:hint="eastAsia" w:ascii="宋体" w:hAnsi="宋体" w:eastAsia="宋体" w:cs="宋体"/>
        </w:rPr>
        <w:t>为用户解决技术疑问、排除设备故障、确保设备正常运行，使用户方工作人 员在培训后能熟练地掌握设备的使用和日常维护工作，并能及时排除大部分的设 备障碍。同时使使用老师充分的掌握和了解实训室的具体功能。让老师充分的对 专业技能训练，提高老师的专业综合实践能力，增强专业素养。帮助校方在日常实践过程中充分利用好这项资源，提升整体实力基础。</w:t>
      </w:r>
    </w:p>
    <w:p>
      <w:pPr>
        <w:pStyle w:val="2"/>
        <w:rPr>
          <w:rFonts w:hint="eastAsia" w:ascii="宋体" w:hAnsi="宋体" w:eastAsia="宋体" w:cs="宋体"/>
        </w:rPr>
      </w:pP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20" name="图片 16"/>
            <wp:cNvGraphicFramePr/>
            <a:graphic xmlns:a="http://schemas.openxmlformats.org/drawingml/2006/main">
              <a:graphicData uri="http://schemas.openxmlformats.org/drawingml/2006/picture">
                <pic:pic xmlns:pic="http://schemas.openxmlformats.org/drawingml/2006/picture">
                  <pic:nvPicPr>
                    <pic:cNvPr id="20" name="图片 16"/>
                    <pic:cNvPicPr/>
                  </pic:nvPicPr>
                  <pic:blipFill>
                    <a:blip r:embed="rId12"/>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培训对象</w:t>
      </w:r>
    </w:p>
    <w:p>
      <w:pPr>
        <w:bidi w:val="0"/>
        <w:spacing w:line="360" w:lineRule="auto"/>
        <w:rPr>
          <w:rFonts w:hint="eastAsia" w:ascii="宋体" w:hAnsi="宋体" w:eastAsia="宋体" w:cs="宋体"/>
        </w:rPr>
      </w:pPr>
      <w:r>
        <w:rPr>
          <w:rFonts w:hint="eastAsia" w:ascii="宋体" w:hAnsi="宋体" w:eastAsia="宋体" w:cs="宋体"/>
        </w:rPr>
        <w:t>使用教师:在用户系统的使用中，最多接触系统的人员是各级的使用教师， 为他们提供良好的培训可以提高整个系统的实际使用效率，减少运行维护人员的 工作量，降低系统的运行维护成本。</w:t>
      </w:r>
    </w:p>
    <w:p>
      <w:pPr>
        <w:bidi w:val="0"/>
        <w:spacing w:line="360" w:lineRule="auto"/>
        <w:rPr>
          <w:rFonts w:hint="eastAsia" w:ascii="宋体" w:hAnsi="宋体" w:eastAsia="宋体" w:cs="宋体"/>
        </w:rPr>
      </w:pPr>
      <w:r>
        <w:rPr>
          <w:rFonts w:hint="eastAsia" w:ascii="宋体" w:hAnsi="宋体" w:eastAsia="宋体" w:cs="宋体"/>
        </w:rPr>
        <w:t>运行维护、管理人员： 对于本项目这样规模的应用系统的管理、维护会非常 复杂，培养具有一定技术和管理思想的运行维护员和管理人员，对于今后系统的 运行也是非常有益的，所以，我们开设了相关的培训课程，为运行维护员和管理 人员提供培训。</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21" name="图片 17"/>
            <wp:cNvGraphicFramePr/>
            <a:graphic xmlns:a="http://schemas.openxmlformats.org/drawingml/2006/main">
              <a:graphicData uri="http://schemas.openxmlformats.org/drawingml/2006/picture">
                <pic:pic xmlns:pic="http://schemas.openxmlformats.org/drawingml/2006/picture">
                  <pic:nvPicPr>
                    <pic:cNvPr id="21" name="图片 17"/>
                    <pic:cNvPicPr/>
                  </pic:nvPicPr>
                  <pic:blipFill>
                    <a:blip r:embed="rId10"/>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培训内容</w:t>
      </w:r>
    </w:p>
    <w:p>
      <w:pPr>
        <w:bidi w:val="0"/>
        <w:spacing w:line="360" w:lineRule="auto"/>
        <w:rPr>
          <w:rFonts w:hint="eastAsia" w:ascii="宋体" w:hAnsi="宋体" w:eastAsia="宋体" w:cs="宋体"/>
        </w:rPr>
      </w:pPr>
      <w:r>
        <w:rPr>
          <w:rFonts w:hint="eastAsia" w:ascii="宋体" w:hAnsi="宋体" w:eastAsia="宋体" w:cs="宋体"/>
        </w:rPr>
        <w:t>培训内容包括对使用教师、运行维护、管理人员进行详尽的工作原理、操作</w:t>
      </w:r>
    </w:p>
    <w:p>
      <w:pPr>
        <w:bidi w:val="0"/>
        <w:spacing w:line="360" w:lineRule="auto"/>
        <w:rPr>
          <w:rFonts w:hint="eastAsia" w:ascii="宋体" w:hAnsi="宋体" w:eastAsia="宋体" w:cs="宋体"/>
        </w:rPr>
      </w:pPr>
      <w:r>
        <w:rPr>
          <w:rFonts w:hint="eastAsia" w:ascii="宋体" w:hAnsi="宋体" w:eastAsia="宋体" w:cs="宋体"/>
        </w:rPr>
        <w:t>使用、一般维护、常见故障排除等一系列的专业培训，使之能够正确操作与使用</w:t>
      </w:r>
    </w:p>
    <w:p>
      <w:pPr>
        <w:bidi w:val="0"/>
        <w:spacing w:line="360" w:lineRule="auto"/>
        <w:rPr>
          <w:rFonts w:hint="eastAsia" w:ascii="宋体" w:hAnsi="宋体" w:eastAsia="宋体" w:cs="宋体"/>
        </w:rPr>
      </w:pPr>
      <w:r>
        <w:rPr>
          <w:rFonts w:hint="eastAsia" w:ascii="宋体" w:hAnsi="宋体" w:eastAsia="宋体" w:cs="宋体"/>
        </w:rPr>
        <w:t>全部设备并能进行常见故障排除，提供各个层次的操作培训。</w:t>
      </w:r>
    </w:p>
    <w:p>
      <w:pPr>
        <w:bidi w:val="0"/>
        <w:spacing w:line="360" w:lineRule="auto"/>
        <w:rPr>
          <w:rFonts w:hint="eastAsia" w:ascii="宋体" w:hAnsi="宋体" w:eastAsia="宋体" w:cs="宋体"/>
        </w:rPr>
      </w:pPr>
      <w:r>
        <w:rPr>
          <w:rFonts w:hint="eastAsia" w:ascii="宋体" w:hAnsi="宋体" w:eastAsia="宋体" w:cs="宋体"/>
        </w:rPr>
        <w:t>（一） 工作原理培训</w:t>
      </w:r>
    </w:p>
    <w:p>
      <w:pPr>
        <w:bidi w:val="0"/>
        <w:spacing w:line="360" w:lineRule="auto"/>
        <w:rPr>
          <w:rFonts w:hint="eastAsia" w:ascii="宋体" w:hAnsi="宋体" w:eastAsia="宋体" w:cs="宋体"/>
        </w:rPr>
      </w:pPr>
      <w:r>
        <w:rPr>
          <w:rFonts w:hint="eastAsia" w:ascii="宋体" w:hAnsi="宋体" w:eastAsia="宋体" w:cs="宋体"/>
        </w:rPr>
        <w:t>设备和系统的基础知识</w:t>
      </w:r>
    </w:p>
    <w:p>
      <w:pPr>
        <w:bidi w:val="0"/>
        <w:spacing w:line="360" w:lineRule="auto"/>
        <w:rPr>
          <w:rFonts w:hint="eastAsia" w:ascii="宋体" w:hAnsi="宋体" w:eastAsia="宋体" w:cs="宋体"/>
        </w:rPr>
      </w:pPr>
      <w:r>
        <w:rPr>
          <w:rFonts w:hint="eastAsia" w:ascii="宋体" w:hAnsi="宋体" w:eastAsia="宋体" w:cs="宋体"/>
        </w:rPr>
        <w:t>设备硬件和软件的功能描述</w:t>
      </w:r>
    </w:p>
    <w:p>
      <w:pPr>
        <w:bidi w:val="0"/>
        <w:spacing w:line="360" w:lineRule="auto"/>
        <w:rPr>
          <w:rFonts w:hint="eastAsia" w:ascii="宋体" w:hAnsi="宋体" w:eastAsia="宋体" w:cs="宋体"/>
        </w:rPr>
      </w:pPr>
      <w:r>
        <w:rPr>
          <w:rFonts w:hint="eastAsia" w:ascii="宋体" w:hAnsi="宋体" w:eastAsia="宋体" w:cs="宋体"/>
        </w:rPr>
        <w:t>设备硬件的正确使用</w:t>
      </w:r>
    </w:p>
    <w:p>
      <w:pPr>
        <w:bidi w:val="0"/>
        <w:spacing w:line="360" w:lineRule="auto"/>
        <w:rPr>
          <w:rFonts w:hint="eastAsia" w:ascii="宋体" w:hAnsi="宋体" w:eastAsia="宋体" w:cs="宋体"/>
        </w:rPr>
      </w:pPr>
      <w:r>
        <w:rPr>
          <w:rFonts w:hint="eastAsia" w:ascii="宋体" w:hAnsi="宋体" w:eastAsia="宋体" w:cs="宋体"/>
        </w:rPr>
        <w:t>设备硬件和软件的调试</w:t>
      </w:r>
    </w:p>
    <w:p>
      <w:pPr>
        <w:bidi w:val="0"/>
        <w:spacing w:line="360" w:lineRule="auto"/>
        <w:rPr>
          <w:rFonts w:hint="eastAsia" w:ascii="宋体" w:hAnsi="宋体" w:eastAsia="宋体" w:cs="宋体"/>
        </w:rPr>
      </w:pPr>
      <w:r>
        <w:rPr>
          <w:rFonts w:hint="eastAsia" w:ascii="宋体" w:hAnsi="宋体" w:eastAsia="宋体" w:cs="宋体"/>
        </w:rPr>
        <w:t>（二） 实际操作培训</w:t>
      </w:r>
    </w:p>
    <w:p>
      <w:pPr>
        <w:bidi w:val="0"/>
        <w:spacing w:line="360" w:lineRule="auto"/>
        <w:rPr>
          <w:rFonts w:hint="eastAsia" w:ascii="宋体" w:hAnsi="宋体" w:eastAsia="宋体" w:cs="宋体"/>
        </w:rPr>
      </w:pPr>
      <w:r>
        <w:rPr>
          <w:rFonts w:hint="eastAsia" w:ascii="宋体" w:hAnsi="宋体" w:eastAsia="宋体" w:cs="宋体"/>
        </w:rPr>
        <w:t>设备使用注意事项</w:t>
      </w:r>
    </w:p>
    <w:p>
      <w:pPr>
        <w:bidi w:val="0"/>
        <w:spacing w:line="360" w:lineRule="auto"/>
        <w:rPr>
          <w:rFonts w:hint="eastAsia" w:ascii="宋体" w:hAnsi="宋体" w:eastAsia="宋体" w:cs="宋体"/>
        </w:rPr>
      </w:pPr>
      <w:r>
        <w:rPr>
          <w:rFonts w:hint="eastAsia" w:ascii="宋体" w:hAnsi="宋体" w:eastAsia="宋体" w:cs="宋体"/>
        </w:rPr>
        <w:t>各种功能的操作方法</w:t>
      </w:r>
    </w:p>
    <w:p>
      <w:pPr>
        <w:bidi w:val="0"/>
        <w:spacing w:line="360" w:lineRule="auto"/>
        <w:rPr>
          <w:rFonts w:hint="eastAsia" w:ascii="宋体" w:hAnsi="宋体" w:eastAsia="宋体" w:cs="宋体"/>
        </w:rPr>
      </w:pPr>
      <w:r>
        <w:rPr>
          <w:rFonts w:hint="eastAsia" w:ascii="宋体" w:hAnsi="宋体" w:eastAsia="宋体" w:cs="宋体"/>
        </w:rPr>
        <w:t>系统设备功能的参数设置</w:t>
      </w:r>
    </w:p>
    <w:p>
      <w:pPr>
        <w:bidi w:val="0"/>
        <w:spacing w:line="360" w:lineRule="auto"/>
        <w:rPr>
          <w:rFonts w:hint="eastAsia" w:ascii="宋体" w:hAnsi="宋体" w:eastAsia="宋体" w:cs="宋体"/>
        </w:rPr>
      </w:pPr>
      <w:r>
        <w:rPr>
          <w:rFonts w:hint="eastAsia" w:ascii="宋体" w:hAnsi="宋体" w:eastAsia="宋体" w:cs="宋体"/>
        </w:rPr>
        <w:t>各种自动操作预案的设定和使用</w:t>
      </w:r>
    </w:p>
    <w:p>
      <w:pPr>
        <w:bidi w:val="0"/>
        <w:spacing w:line="360" w:lineRule="auto"/>
        <w:rPr>
          <w:rFonts w:hint="eastAsia" w:ascii="宋体" w:hAnsi="宋体" w:eastAsia="宋体" w:cs="宋体"/>
        </w:rPr>
      </w:pPr>
      <w:r>
        <w:rPr>
          <w:rFonts w:hint="eastAsia" w:ascii="宋体" w:hAnsi="宋体" w:eastAsia="宋体" w:cs="宋体"/>
        </w:rPr>
        <w:t>各种操作模式的设定和使用</w:t>
      </w:r>
    </w:p>
    <w:p>
      <w:pPr>
        <w:bidi w:val="0"/>
        <w:spacing w:line="360" w:lineRule="auto"/>
        <w:rPr>
          <w:rFonts w:hint="eastAsia" w:ascii="宋体" w:hAnsi="宋体" w:eastAsia="宋体" w:cs="宋体"/>
        </w:rPr>
      </w:pPr>
      <w:r>
        <w:rPr>
          <w:rFonts w:hint="eastAsia" w:ascii="宋体" w:hAnsi="宋体" w:eastAsia="宋体" w:cs="宋体"/>
        </w:rPr>
        <w:t>备件的更换</w:t>
      </w:r>
    </w:p>
    <w:p>
      <w:pPr>
        <w:bidi w:val="0"/>
        <w:spacing w:line="360" w:lineRule="auto"/>
        <w:rPr>
          <w:rFonts w:hint="eastAsia" w:ascii="宋体" w:hAnsi="宋体" w:eastAsia="宋体" w:cs="宋体"/>
        </w:rPr>
      </w:pPr>
      <w:r>
        <w:rPr>
          <w:rFonts w:hint="eastAsia" w:ascii="宋体" w:hAnsi="宋体" w:eastAsia="宋体" w:cs="宋体"/>
        </w:rPr>
        <w:t>（三） 常见故障的判断及排除培训</w:t>
      </w:r>
    </w:p>
    <w:p>
      <w:pPr>
        <w:bidi w:val="0"/>
        <w:spacing w:line="360" w:lineRule="auto"/>
        <w:rPr>
          <w:rFonts w:hint="eastAsia" w:ascii="宋体" w:hAnsi="宋体" w:eastAsia="宋体" w:cs="宋体"/>
        </w:rPr>
      </w:pPr>
      <w:r>
        <w:rPr>
          <w:rFonts w:hint="eastAsia" w:ascii="宋体" w:hAnsi="宋体" w:eastAsia="宋体" w:cs="宋体"/>
        </w:rPr>
        <w:t>设备相互间的连接线路问题</w:t>
      </w:r>
    </w:p>
    <w:p>
      <w:pPr>
        <w:bidi w:val="0"/>
        <w:spacing w:line="360" w:lineRule="auto"/>
        <w:rPr>
          <w:rFonts w:hint="eastAsia" w:ascii="宋体" w:hAnsi="宋体" w:eastAsia="宋体" w:cs="宋体"/>
        </w:rPr>
      </w:pPr>
      <w:r>
        <w:rPr>
          <w:rFonts w:hint="eastAsia" w:ascii="宋体" w:hAnsi="宋体" w:eastAsia="宋体" w:cs="宋体"/>
        </w:rPr>
        <w:t>设备网络故障问题</w:t>
      </w:r>
    </w:p>
    <w:p>
      <w:pPr>
        <w:bidi w:val="0"/>
        <w:spacing w:line="360" w:lineRule="auto"/>
        <w:rPr>
          <w:rFonts w:hint="eastAsia" w:ascii="宋体" w:hAnsi="宋体" w:eastAsia="宋体" w:cs="宋体"/>
        </w:rPr>
      </w:pPr>
      <w:r>
        <w:rPr>
          <w:rFonts w:hint="eastAsia" w:ascii="宋体" w:hAnsi="宋体" w:eastAsia="宋体" w:cs="宋体"/>
        </w:rPr>
        <w:t>系统（软件） 的升级安装以及维护</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22" name="图片 18"/>
            <wp:cNvGraphicFramePr/>
            <a:graphic xmlns:a="http://schemas.openxmlformats.org/drawingml/2006/main">
              <a:graphicData uri="http://schemas.openxmlformats.org/drawingml/2006/picture">
                <pic:pic xmlns:pic="http://schemas.openxmlformats.org/drawingml/2006/picture">
                  <pic:nvPicPr>
                    <pic:cNvPr id="22" name="图片 18"/>
                    <pic:cNvPicPr/>
                  </pic:nvPicPr>
                  <pic:blipFill>
                    <a:blip r:embed="rId9"/>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培训地点、对象人数、授课人、费用</w:t>
      </w:r>
    </w:p>
    <w:p>
      <w:pPr>
        <w:bidi w:val="0"/>
        <w:spacing w:line="360" w:lineRule="auto"/>
        <w:rPr>
          <w:rFonts w:hint="eastAsia" w:ascii="宋体" w:hAnsi="宋体" w:eastAsia="宋体" w:cs="宋体"/>
        </w:rPr>
      </w:pPr>
      <w:r>
        <w:rPr>
          <w:rFonts w:hint="eastAsia" w:ascii="宋体" w:hAnsi="宋体" w:eastAsia="宋体" w:cs="宋体"/>
        </w:rPr>
        <w:t>（1） 用户场地培训</w:t>
      </w:r>
    </w:p>
    <w:p>
      <w:pPr>
        <w:bidi w:val="0"/>
        <w:spacing w:line="360" w:lineRule="auto"/>
        <w:rPr>
          <w:rFonts w:hint="eastAsia" w:ascii="宋体" w:hAnsi="宋体" w:eastAsia="宋体" w:cs="宋体"/>
        </w:rPr>
      </w:pPr>
      <w:r>
        <w:rPr>
          <w:rFonts w:hint="eastAsia" w:ascii="宋体" w:hAnsi="宋体" w:eastAsia="宋体" w:cs="宋体"/>
        </w:rPr>
        <w:t>利用实际系统设备，主要针对技术人员、调度人员进行系统功能、系统原 理、操作使用、故障诊断与排除的培训。在实训室整体环创完成后，我们单位组 织培训讲师向校方专业教师进行教学示范指导 5 天。3 年内，每年 1 次（每次 2 天） 。</w:t>
      </w:r>
    </w:p>
    <w:p>
      <w:pPr>
        <w:bidi w:val="0"/>
        <w:spacing w:line="360" w:lineRule="auto"/>
        <w:rPr>
          <w:rFonts w:hint="eastAsia" w:ascii="宋体" w:hAnsi="宋体" w:eastAsia="宋体" w:cs="宋体"/>
        </w:rPr>
      </w:pPr>
      <w:r>
        <w:rPr>
          <w:rFonts w:hint="eastAsia" w:ascii="宋体" w:hAnsi="宋体" w:eastAsia="宋体" w:cs="宋体"/>
        </w:rPr>
        <w:t>整个培训过程采用现场授课、实际操作以及现场演示最后进行考核相结合 的方式进行。使用户既有感官上的认识，又有现场亲自动手操作的切身体会，让 用户充分了解产品的同时，掌握产品的基本构成、工作原理、功能、特性，硬件</w:t>
      </w:r>
    </w:p>
    <w:p>
      <w:pPr>
        <w:bidi w:val="0"/>
        <w:spacing w:line="360" w:lineRule="auto"/>
        <w:rPr>
          <w:rFonts w:hint="eastAsia" w:ascii="宋体" w:hAnsi="宋体" w:eastAsia="宋体" w:cs="宋体"/>
        </w:rPr>
      </w:pPr>
      <w:r>
        <w:rPr>
          <w:rFonts w:hint="eastAsia" w:ascii="宋体" w:hAnsi="宋体" w:eastAsia="宋体" w:cs="宋体"/>
        </w:rPr>
        <w:t>的操作与使用及设备的日常维护与保养等基本知识。以此为桥梁为契机，加深用</w:t>
      </w:r>
    </w:p>
    <w:p>
      <w:pPr>
        <w:bidi w:val="0"/>
        <w:spacing w:line="360" w:lineRule="auto"/>
        <w:rPr>
          <w:rFonts w:hint="eastAsia" w:ascii="宋体" w:hAnsi="宋体" w:eastAsia="宋体" w:cs="宋体"/>
        </w:rPr>
      </w:pPr>
      <w:r>
        <w:rPr>
          <w:rFonts w:hint="eastAsia" w:ascii="宋体" w:hAnsi="宋体" w:eastAsia="宋体" w:cs="宋体"/>
        </w:rPr>
        <w:t>户与我方之间的相互了解、相互信任，为以后开展工作做好铺垫，打下一个良好</w:t>
      </w:r>
    </w:p>
    <w:p>
      <w:pPr>
        <w:bidi w:val="0"/>
        <w:spacing w:line="360" w:lineRule="auto"/>
        <w:rPr>
          <w:rFonts w:hint="eastAsia" w:ascii="宋体" w:hAnsi="宋体" w:eastAsia="宋体" w:cs="宋体"/>
        </w:rPr>
      </w:pPr>
      <w:r>
        <w:rPr>
          <w:rFonts w:hint="eastAsia" w:ascii="宋体" w:hAnsi="宋体" w:eastAsia="宋体" w:cs="宋体"/>
        </w:rPr>
        <w:t>的基础。</w:t>
      </w:r>
    </w:p>
    <w:p>
      <w:pPr>
        <w:keepNext w:val="0"/>
        <w:keepLines w:val="0"/>
        <w:pageBreakBefore w:val="0"/>
        <w:widowControl w:val="0"/>
        <w:kinsoku/>
        <w:wordWrap w:val="0"/>
        <w:overflowPunct/>
        <w:topLinePunct w:val="0"/>
        <w:autoSpaceDE/>
        <w:autoSpaceDN/>
        <w:bidi w:val="0"/>
        <w:adjustRightInd/>
        <w:snapToGrid/>
        <w:spacing w:line="360" w:lineRule="auto"/>
        <w:ind w:left="0"/>
        <w:jc w:val="left"/>
        <w:textAlignment w:val="auto"/>
        <w:rPr>
          <w:rFonts w:hint="eastAsia" w:ascii="宋体" w:hAnsi="宋体" w:eastAsia="宋体" w:cs="宋体"/>
        </w:rPr>
      </w:pPr>
      <w:r>
        <w:rPr>
          <w:rFonts w:hint="eastAsia" w:ascii="宋体" w:hAnsi="宋体" w:eastAsia="宋体" w:cs="宋体"/>
        </w:rPr>
        <w:t>（2） 公司培训授课人、对象人数、费用</w:t>
      </w:r>
    </w:p>
    <w:p>
      <w:pPr>
        <w:keepNext w:val="0"/>
        <w:keepLines w:val="0"/>
        <w:pageBreakBefore w:val="0"/>
        <w:widowControl w:val="0"/>
        <w:kinsoku/>
        <w:wordWrap w:val="0"/>
        <w:overflowPunct/>
        <w:topLinePunct w:val="0"/>
        <w:autoSpaceDE/>
        <w:autoSpaceDN/>
        <w:bidi w:val="0"/>
        <w:adjustRightInd/>
        <w:snapToGrid/>
        <w:spacing w:line="360" w:lineRule="auto"/>
        <w:ind w:left="0" w:firstLine="420" w:firstLineChars="200"/>
        <w:jc w:val="left"/>
        <w:textAlignment w:val="auto"/>
        <w:rPr>
          <w:rFonts w:hint="eastAsia" w:ascii="宋体" w:hAnsi="宋体" w:eastAsia="宋体" w:cs="宋体"/>
          <w:lang w:eastAsia="zh-CN"/>
        </w:rPr>
      </w:pPr>
      <w:r>
        <w:rPr>
          <w:rFonts w:hint="eastAsia" w:ascii="宋体" w:hAnsi="宋体" w:eastAsia="宋体" w:cs="宋体"/>
        </w:rPr>
        <w:t>我公司将组织由设备厂家认证的工程师负责对所售仪器的安装、调试、培训； 为减少用户的操作错误概率，为用户免费培训 1-2 名技术人员，使培训人员达到熟练掌握、灵活应用的程度； 同时安排专业培训讲师进行现场教学示范指导</w:t>
      </w:r>
      <w:r>
        <w:rPr>
          <w:rFonts w:hint="eastAsia" w:ascii="宋体" w:hAnsi="宋体" w:cs="宋体"/>
          <w:lang w:eastAsia="zh-CN"/>
        </w:rPr>
        <w:t>。</w:t>
      </w:r>
    </w:p>
    <w:p>
      <w:pPr>
        <w:bidi w:val="0"/>
        <w:spacing w:line="360" w:lineRule="auto"/>
        <w:ind w:firstLine="420" w:firstLineChars="200"/>
        <w:rPr>
          <w:rFonts w:hint="eastAsia" w:ascii="宋体" w:hAnsi="宋体" w:eastAsia="宋体" w:cs="宋体"/>
        </w:rPr>
      </w:pPr>
      <w:r>
        <w:rPr>
          <w:rFonts w:hint="eastAsia" w:ascii="宋体" w:hAnsi="宋体" w:eastAsia="宋体" w:cs="宋体"/>
        </w:rPr>
        <w:t>所有的培训教员用中文授课并为所有被培训人员提供培训用计算机、网络 环境、文字资料和讲义；所有的培训资料用中文书写；</w:t>
      </w:r>
    </w:p>
    <w:p>
      <w:pPr>
        <w:bidi w:val="0"/>
        <w:spacing w:line="360" w:lineRule="auto"/>
        <w:ind w:firstLine="420" w:firstLineChars="200"/>
        <w:rPr>
          <w:rFonts w:hint="eastAsia" w:ascii="宋体" w:hAnsi="宋体" w:eastAsia="宋体" w:cs="宋体"/>
        </w:rPr>
      </w:pPr>
      <w:r>
        <w:rPr>
          <w:rFonts w:hint="eastAsia" w:ascii="宋体" w:hAnsi="宋体" w:eastAsia="宋体" w:cs="宋体"/>
        </w:rPr>
        <w:t>培训形式：采用线下现场 培训，根据用户需求采用集中培训和分组培训两种方式进行，培训次数 4 次(具 体培训形式按学校要求） ；在设备安装调试、故障处理过程中进行培训。现场培 训包括对运维人员、使用人员的培训。讲授各种设备的安装、运维和使用时注意的事项及相关知识。</w:t>
      </w:r>
    </w:p>
    <w:p>
      <w:pPr>
        <w:bidi w:val="0"/>
        <w:spacing w:line="360" w:lineRule="auto"/>
        <w:rPr>
          <w:rFonts w:hint="eastAsia" w:ascii="宋体" w:hAnsi="宋体" w:eastAsia="宋体" w:cs="宋体"/>
        </w:rPr>
      </w:pPr>
      <w:r>
        <w:rPr>
          <w:rFonts w:hint="eastAsia" w:ascii="宋体" w:hAnsi="宋体" w:eastAsia="宋体" w:cs="宋体"/>
        </w:rPr>
        <w:t>根据本项目的实际情况，为了尽快提高本项目设备的操作技能，特制定以 下方案,具体实施培训计划时和招标人协商确定，由招标人统一安排：</w:t>
      </w:r>
    </w:p>
    <w:p>
      <w:pPr>
        <w:bidi w:val="0"/>
        <w:spacing w:line="360" w:lineRule="auto"/>
        <w:rPr>
          <w:rFonts w:hint="eastAsia" w:ascii="宋体" w:hAnsi="宋体" w:eastAsia="宋体" w:cs="宋体"/>
        </w:rPr>
      </w:pPr>
      <w:r>
        <w:rPr>
          <w:rFonts w:hint="eastAsia" w:ascii="宋体" w:hAnsi="宋体" w:eastAsia="宋体" w:cs="宋体"/>
        </w:rPr>
        <w:t>一、培训对象： 使用教师、运行维护、管理人员：</w:t>
      </w:r>
    </w:p>
    <w:p>
      <w:pPr>
        <w:bidi w:val="0"/>
        <w:spacing w:line="360" w:lineRule="auto"/>
        <w:rPr>
          <w:rFonts w:hint="eastAsia" w:ascii="宋体" w:hAnsi="宋体" w:eastAsia="宋体" w:cs="宋体"/>
        </w:rPr>
      </w:pPr>
      <w:r>
        <w:rPr>
          <w:rFonts w:hint="eastAsia" w:ascii="宋体" w:hAnsi="宋体" w:eastAsia="宋体" w:cs="宋体"/>
        </w:rPr>
        <w:t>二、培训地点： 用户指定地点</w:t>
      </w:r>
    </w:p>
    <w:p>
      <w:pPr>
        <w:bidi w:val="0"/>
        <w:spacing w:line="360" w:lineRule="auto"/>
        <w:rPr>
          <w:rFonts w:hint="eastAsia" w:ascii="宋体" w:hAnsi="宋体" w:eastAsia="宋体" w:cs="宋体"/>
        </w:rPr>
      </w:pPr>
      <w:r>
        <w:rPr>
          <w:rFonts w:hint="eastAsia" w:ascii="宋体" w:hAnsi="宋体" w:eastAsia="宋体" w:cs="宋体"/>
        </w:rPr>
        <w:t>三、培训时间： 双方协定</w:t>
      </w:r>
    </w:p>
    <w:p>
      <w:pPr>
        <w:bidi w:val="0"/>
        <w:spacing w:line="360" w:lineRule="auto"/>
        <w:rPr>
          <w:rFonts w:hint="eastAsia" w:ascii="宋体" w:hAnsi="宋体" w:eastAsia="宋体" w:cs="宋体"/>
        </w:rPr>
      </w:pPr>
      <w:r>
        <w:rPr>
          <w:rFonts w:hint="eastAsia" w:ascii="宋体" w:hAnsi="宋体" w:eastAsia="宋体" w:cs="宋体"/>
        </w:rPr>
        <w:t>四、培训方式： 采用线下现场培训，根据用户需求采用集中培训和分组培训两种方式进行五、授课人员： 设备厂家认证的工程师和专业培训讲师</w:t>
      </w:r>
    </w:p>
    <w:p>
      <w:pPr>
        <w:bidi w:val="0"/>
        <w:spacing w:line="360" w:lineRule="auto"/>
        <w:rPr>
          <w:rFonts w:hint="eastAsia" w:ascii="宋体" w:hAnsi="宋体" w:eastAsia="宋体" w:cs="宋体"/>
        </w:rPr>
      </w:pPr>
      <w:r>
        <w:rPr>
          <w:rFonts w:hint="eastAsia" w:ascii="宋体" w:hAnsi="宋体" w:eastAsia="宋体" w:cs="宋体"/>
        </w:rPr>
        <w:t>六、组织形式： 组织形式分为两种，对学校全体教师着重进行产品操作使用方面 系统培训，对设备管理人员着重进行设备管理系统操作、管理、维护等专项培训。</w:t>
      </w:r>
    </w:p>
    <w:p>
      <w:pPr>
        <w:bidi w:val="0"/>
        <w:spacing w:line="360" w:lineRule="auto"/>
        <w:rPr>
          <w:rFonts w:hint="eastAsia" w:ascii="宋体" w:hAnsi="宋体" w:eastAsia="宋体" w:cs="宋体"/>
        </w:rPr>
      </w:pPr>
      <w:r>
        <w:rPr>
          <w:rFonts w:hint="eastAsia" w:ascii="宋体" w:hAnsi="宋体" w:eastAsia="宋体" w:cs="宋体"/>
        </w:rPr>
        <w:drawing>
          <wp:inline distT="0" distB="0" distL="114300" distR="114300">
            <wp:extent cx="109855" cy="168275"/>
            <wp:effectExtent l="0" t="0" r="17145" b="8255"/>
            <wp:docPr id="2" name="图片 19"/>
            <wp:cNvGraphicFramePr/>
            <a:graphic xmlns:a="http://schemas.openxmlformats.org/drawingml/2006/main">
              <a:graphicData uri="http://schemas.openxmlformats.org/drawingml/2006/picture">
                <pic:pic xmlns:pic="http://schemas.openxmlformats.org/drawingml/2006/picture">
                  <pic:nvPicPr>
                    <pic:cNvPr id="2" name="图片 19"/>
                    <pic:cNvPicPr/>
                  </pic:nvPicPr>
                  <pic:blipFill>
                    <a:blip r:embed="rId10"/>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rPr>
        <w:t xml:space="preserve">  项目培训实施流程</w:t>
      </w:r>
    </w:p>
    <w:p>
      <w:pPr>
        <w:bidi w:val="0"/>
        <w:spacing w:line="360" w:lineRule="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 xml:space="preserve">介绍本次项目的所有设备。                             </w:t>
      </w:r>
    </w:p>
    <w:p>
      <w:pPr>
        <w:bidi w:val="0"/>
        <w:spacing w:line="360" w:lineRule="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了解所有设备的工作原理、组成部分、功能及操作注意事项。</w:t>
      </w:r>
    </w:p>
    <w:p>
      <w:pPr>
        <w:bidi w:val="0"/>
        <w:spacing w:line="360" w:lineRule="auto"/>
        <w:rPr>
          <w:rFonts w:hint="eastAsia" w:ascii="宋体" w:hAnsi="宋体" w:eastAsia="宋体" w:cs="宋体"/>
        </w:rPr>
      </w:pPr>
      <w:r>
        <w:rPr>
          <w:rFonts w:hint="eastAsia" w:ascii="宋体" w:hAnsi="宋体" w:eastAsia="宋体" w:cs="宋体"/>
        </w:rPr>
        <w:t>3.现场操作设备。</w:t>
      </w:r>
    </w:p>
    <w:p>
      <w:pPr>
        <w:bidi w:val="0"/>
        <w:spacing w:line="360" w:lineRule="auto"/>
        <w:rPr>
          <w:rFonts w:hint="eastAsia" w:ascii="宋体" w:hAnsi="宋体" w:eastAsia="宋体" w:cs="宋体"/>
        </w:rPr>
      </w:pPr>
      <w:r>
        <w:rPr>
          <w:rFonts w:hint="eastAsia" w:ascii="宋体" w:hAnsi="宋体" w:eastAsia="宋体" w:cs="宋体"/>
        </w:rPr>
        <w:t>4.使学员自己动手操作整套教具，针对有疑问的地方进行重点讲解。</w:t>
      </w:r>
    </w:p>
    <w:p>
      <w:pPr>
        <w:bidi w:val="0"/>
        <w:spacing w:line="360" w:lineRule="auto"/>
        <w:rPr>
          <w:rFonts w:hint="eastAsia" w:ascii="宋体" w:hAnsi="宋体" w:eastAsia="宋体" w:cs="宋体"/>
        </w:rPr>
      </w:pPr>
      <w:r>
        <w:rPr>
          <w:rFonts w:hint="eastAsia" w:ascii="宋体" w:hAnsi="宋体" w:eastAsia="宋体" w:cs="宋体"/>
        </w:rPr>
        <w:t>5.讲授设备平时使用中易出现的问题，提供解决方案和对策以及日常如何维护。</w:t>
      </w:r>
    </w:p>
    <w:p>
      <w:pPr>
        <w:bidi w:val="0"/>
        <w:spacing w:line="360" w:lineRule="auto"/>
        <w:rPr>
          <w:rFonts w:hint="eastAsia" w:ascii="宋体" w:hAnsi="宋体" w:eastAsia="宋体" w:cs="宋体"/>
        </w:rPr>
      </w:pPr>
      <w:r>
        <w:rPr>
          <w:rFonts w:hint="eastAsia" w:ascii="宋体" w:hAnsi="宋体" w:eastAsia="宋体" w:cs="宋体"/>
        </w:rPr>
        <w:t>6.对学校全体教师着重进行产品操作使用方面系统培训，对设备管理人员着重进 行设备管理系统操作、管理、维护等专项培训。</w:t>
      </w:r>
    </w:p>
    <w:p>
      <w:pPr>
        <w:spacing w:line="360" w:lineRule="auto"/>
      </w:pPr>
      <w:r>
        <w:rPr>
          <w:rFonts w:hint="eastAsia" w:ascii="宋体" w:hAnsi="宋体" w:eastAsia="宋体" w:cs="宋体"/>
        </w:rPr>
        <w:t>7.由供需双方针对培训进行考核，对于考核不通过的学员再进行针对性的培训， 保证所有受训人员都能操作整套设备； 培训合格的标准为： 被培训者要能依据基 本规则对产品进行正常使用。对于有可能遇到的特殊工作使用条件和任务能合理的应对措施</w:t>
      </w:r>
      <w:r>
        <w:rPr>
          <w:rFonts w:hint="eastAsia" w:ascii="宋体" w:hAnsi="宋体" w:cs="宋体"/>
          <w:lang w:eastAsia="zh-CN"/>
        </w:rPr>
        <w:t>。</w:t>
      </w:r>
    </w:p>
    <w:p>
      <w:pPr>
        <w:pStyle w:val="3"/>
        <w:spacing w:line="360" w:lineRule="auto"/>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sz w:val="24"/>
          <w:szCs w:val="24"/>
        </w:rPr>
      </w:pPr>
    </w:p>
    <w:p>
      <w:pPr>
        <w:pStyle w:val="3"/>
        <w:rPr>
          <w:rFonts w:hint="eastAsia" w:ascii="宋体" w:hAnsi="宋体" w:eastAsia="宋体" w:cs="宋体"/>
          <w:sz w:val="24"/>
          <w:szCs w:val="24"/>
        </w:rPr>
      </w:pPr>
    </w:p>
    <w:p>
      <w:pPr>
        <w:pStyle w:val="3"/>
        <w:rPr>
          <w:rFonts w:hint="eastAsia" w:ascii="宋体" w:hAnsi="宋体" w:eastAsia="宋体" w:cs="宋体"/>
          <w:sz w:val="24"/>
          <w:szCs w:val="24"/>
        </w:rPr>
      </w:pPr>
    </w:p>
    <w:p>
      <w:pPr>
        <w:snapToGrid w:val="0"/>
        <w:spacing w:line="360" w:lineRule="auto"/>
        <w:jc w:val="left"/>
        <w:rPr>
          <w:rFonts w:ascii="宋体"/>
          <w:b/>
          <w:bCs/>
          <w:sz w:val="28"/>
          <w:szCs w:val="28"/>
        </w:rPr>
      </w:pPr>
      <w:r>
        <w:rPr>
          <w:rFonts w:hint="eastAsia" w:ascii="宋体" w:hAnsi="宋体" w:cs="宋体"/>
          <w:sz w:val="28"/>
          <w:szCs w:val="28"/>
        </w:rPr>
        <w:t>附</w:t>
      </w:r>
      <w:r>
        <w:rPr>
          <w:rFonts w:ascii="宋体" w:hAnsi="宋体" w:cs="宋体"/>
          <w:sz w:val="28"/>
          <w:szCs w:val="28"/>
        </w:rPr>
        <w:t>4</w:t>
      </w:r>
      <w:r>
        <w:rPr>
          <w:rFonts w:hint="eastAsia" w:ascii="宋体" w:hAnsi="宋体" w:cs="宋体"/>
          <w:sz w:val="28"/>
          <w:szCs w:val="28"/>
        </w:rPr>
        <w:t>：</w:t>
      </w:r>
      <w:r>
        <w:rPr>
          <w:rFonts w:ascii="宋体" w:hAnsi="宋体" w:cs="宋体"/>
          <w:b/>
          <w:bCs/>
          <w:sz w:val="28"/>
          <w:szCs w:val="28"/>
        </w:rPr>
        <w:t xml:space="preserve">       </w:t>
      </w:r>
    </w:p>
    <w:p>
      <w:pPr>
        <w:snapToGrid w:val="0"/>
        <w:spacing w:line="360" w:lineRule="auto"/>
        <w:jc w:val="left"/>
        <w:rPr>
          <w:rFonts w:ascii="宋体"/>
          <w:b/>
          <w:bCs/>
          <w:sz w:val="28"/>
          <w:szCs w:val="28"/>
        </w:rPr>
      </w:pPr>
      <w:r>
        <w:rPr>
          <w:rFonts w:ascii="宋体" w:hAnsi="宋体" w:cs="宋体"/>
          <w:b/>
          <w:bCs/>
          <w:sz w:val="28"/>
          <w:szCs w:val="28"/>
        </w:rPr>
        <w:t xml:space="preserve">           </w:t>
      </w:r>
    </w:p>
    <w:p>
      <w:pPr>
        <w:snapToGrid w:val="0"/>
        <w:spacing w:line="360" w:lineRule="auto"/>
        <w:rPr>
          <w:rFonts w:ascii="宋体"/>
          <w:b/>
          <w:bCs/>
          <w:sz w:val="36"/>
          <w:szCs w:val="36"/>
        </w:rPr>
      </w:pPr>
      <w:r>
        <w:rPr>
          <w:rFonts w:ascii="宋体" w:hAnsi="宋体" w:cs="宋体"/>
          <w:b/>
          <w:bCs/>
          <w:sz w:val="28"/>
          <w:szCs w:val="28"/>
        </w:rPr>
        <w:t xml:space="preserve">             </w:t>
      </w:r>
      <w:r>
        <w:rPr>
          <w:rFonts w:hint="eastAsia" w:ascii="宋体" w:hAnsi="宋体" w:cs="宋体"/>
          <w:b/>
          <w:bCs/>
          <w:sz w:val="36"/>
          <w:szCs w:val="36"/>
        </w:rPr>
        <w:t>郑州大学仪器设备初步验收单</w:t>
      </w:r>
    </w:p>
    <w:p>
      <w:pPr>
        <w:ind w:firstLine="353" w:firstLineChars="147"/>
        <w:rPr>
          <w:rFonts w:ascii="宋体"/>
          <w:b/>
          <w:bCs/>
          <w:sz w:val="24"/>
        </w:rPr>
      </w:pPr>
      <w:r>
        <w:rPr>
          <w:rFonts w:ascii="宋体" w:hAnsi="宋体" w:cs="宋体"/>
          <w:b/>
          <w:bCs/>
          <w:sz w:val="24"/>
        </w:rPr>
        <w:t xml:space="preserve">No.                                         </w:t>
      </w:r>
      <w:r>
        <w:rPr>
          <w:rFonts w:hint="eastAsia" w:ascii="宋体" w:hAnsi="宋体" w:cs="宋体"/>
          <w:b/>
          <w:bCs/>
          <w:sz w:val="24"/>
        </w:rPr>
        <w:t>年</w:t>
      </w:r>
      <w:r>
        <w:rPr>
          <w:rFonts w:ascii="宋体" w:hAnsi="宋体" w:cs="宋体"/>
          <w:b/>
          <w:bCs/>
          <w:sz w:val="24"/>
        </w:rPr>
        <w:t xml:space="preserve">   </w:t>
      </w:r>
      <w:r>
        <w:rPr>
          <w:rFonts w:hint="eastAsia" w:ascii="宋体" w:hAnsi="宋体" w:cs="宋体"/>
          <w:b/>
          <w:bCs/>
          <w:sz w:val="24"/>
        </w:rPr>
        <w:t>月</w:t>
      </w:r>
      <w:r>
        <w:rPr>
          <w:rFonts w:ascii="宋体" w:hAnsi="宋体" w:cs="宋体"/>
          <w:b/>
          <w:bCs/>
          <w:sz w:val="24"/>
        </w:rPr>
        <w:t xml:space="preserve">   </w:t>
      </w:r>
      <w:r>
        <w:rPr>
          <w:rFonts w:hint="eastAsia" w:ascii="宋体" w:hAnsi="宋体" w:cs="宋体"/>
          <w:b/>
          <w:bCs/>
          <w:sz w:val="24"/>
        </w:rPr>
        <w:t>日</w:t>
      </w:r>
    </w:p>
    <w:tbl>
      <w:tblPr>
        <w:tblStyle w:val="14"/>
        <w:tblW w:w="8853"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763"/>
        <w:gridCol w:w="91"/>
        <w:gridCol w:w="437"/>
        <w:gridCol w:w="1180"/>
        <w:gridCol w:w="1122"/>
        <w:gridCol w:w="317"/>
        <w:gridCol w:w="1162"/>
        <w:gridCol w:w="747"/>
        <w:gridCol w:w="200"/>
        <w:gridCol w:w="325"/>
        <w:gridCol w:w="382"/>
        <w:gridCol w:w="498"/>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1206" w:type="dxa"/>
            <w:gridSpan w:val="2"/>
            <w:tcBorders>
              <w:top w:val="single" w:color="auto" w:sz="12" w:space="0"/>
              <w:left w:val="single" w:color="auto" w:sz="12" w:space="0"/>
              <w:bottom w:val="single" w:color="auto" w:sz="2" w:space="0"/>
              <w:right w:val="single" w:color="auto" w:sz="2" w:space="0"/>
            </w:tcBorders>
            <w:vAlign w:val="center"/>
          </w:tcPr>
          <w:p>
            <w:pPr>
              <w:jc w:val="center"/>
              <w:rPr>
                <w:rFonts w:hint="eastAsia" w:cs="宋体"/>
                <w:color w:val="auto"/>
                <w:lang w:val="en-US" w:eastAsia="zh-Hans"/>
              </w:rPr>
            </w:pPr>
            <w:r>
              <w:rPr>
                <w:rFonts w:hint="eastAsia" w:cs="宋体"/>
                <w:color w:val="auto"/>
                <w:lang w:val="en-US" w:eastAsia="zh-Hans"/>
              </w:rPr>
              <w:t>使用单位</w:t>
            </w:r>
          </w:p>
        </w:tc>
        <w:tc>
          <w:tcPr>
            <w:tcW w:w="1708" w:type="dxa"/>
            <w:gridSpan w:val="3"/>
            <w:tcBorders>
              <w:top w:val="single" w:color="auto" w:sz="12" w:space="0"/>
              <w:left w:val="single" w:color="auto" w:sz="2" w:space="0"/>
              <w:bottom w:val="single" w:color="auto" w:sz="2" w:space="0"/>
              <w:right w:val="single" w:color="auto" w:sz="2" w:space="0"/>
            </w:tcBorders>
            <w:vAlign w:val="center"/>
          </w:tcPr>
          <w:p>
            <w:pPr>
              <w:jc w:val="center"/>
              <w:rPr>
                <w:rFonts w:hint="eastAsia" w:cs="宋体"/>
                <w:color w:val="auto"/>
                <w:lang w:val="en-US" w:eastAsia="zh-Hans"/>
              </w:rPr>
            </w:pPr>
            <w:r>
              <w:rPr>
                <w:rFonts w:hint="eastAsia" w:cs="宋体"/>
                <w:color w:val="auto"/>
                <w:lang w:val="en-US" w:eastAsia="zh-Hans"/>
              </w:rPr>
              <w:t>郑州大学中原网络安全研究院</w:t>
            </w:r>
          </w:p>
        </w:tc>
        <w:tc>
          <w:tcPr>
            <w:tcW w:w="1122" w:type="dxa"/>
            <w:tcBorders>
              <w:top w:val="single" w:color="auto" w:sz="12" w:space="0"/>
              <w:left w:val="single" w:color="auto" w:sz="2" w:space="0"/>
              <w:bottom w:val="single" w:color="auto" w:sz="2" w:space="0"/>
              <w:right w:val="single" w:color="auto" w:sz="2" w:space="0"/>
            </w:tcBorders>
            <w:vAlign w:val="center"/>
          </w:tcPr>
          <w:p>
            <w:pPr>
              <w:jc w:val="center"/>
              <w:rPr>
                <w:rFonts w:hint="eastAsia" w:cs="宋体"/>
                <w:color w:val="auto"/>
              </w:rPr>
            </w:pPr>
            <w:r>
              <w:rPr>
                <w:rFonts w:hint="eastAsia" w:cs="宋体"/>
                <w:color w:val="auto"/>
              </w:rPr>
              <w:t>使用人</w:t>
            </w:r>
          </w:p>
        </w:tc>
        <w:tc>
          <w:tcPr>
            <w:tcW w:w="1479" w:type="dxa"/>
            <w:gridSpan w:val="2"/>
            <w:tcBorders>
              <w:top w:val="single" w:color="auto" w:sz="12" w:space="0"/>
              <w:left w:val="single" w:color="auto" w:sz="2" w:space="0"/>
              <w:bottom w:val="single" w:color="auto" w:sz="2" w:space="0"/>
              <w:right w:val="single" w:color="auto" w:sz="2" w:space="0"/>
            </w:tcBorders>
            <w:vAlign w:val="center"/>
          </w:tcPr>
          <w:p>
            <w:pPr>
              <w:jc w:val="center"/>
              <w:rPr>
                <w:rFonts w:hint="eastAsia" w:eastAsia="宋体" w:cs="宋体"/>
                <w:color w:val="auto"/>
                <w:lang w:val="en-US" w:eastAsia="zh-Hans"/>
              </w:rPr>
            </w:pPr>
            <w:r>
              <w:rPr>
                <w:rFonts w:hint="eastAsia" w:cs="宋体"/>
                <w:color w:val="auto"/>
                <w:lang w:val="en-US" w:eastAsia="zh-Hans"/>
              </w:rPr>
              <w:t>杨晨光</w:t>
            </w:r>
          </w:p>
        </w:tc>
        <w:tc>
          <w:tcPr>
            <w:tcW w:w="1654" w:type="dxa"/>
            <w:gridSpan w:val="4"/>
            <w:tcBorders>
              <w:top w:val="single" w:color="auto" w:sz="12" w:space="0"/>
              <w:left w:val="single" w:color="auto" w:sz="2" w:space="0"/>
              <w:bottom w:val="single" w:color="auto" w:sz="2" w:space="0"/>
              <w:right w:val="single" w:color="auto" w:sz="2" w:space="0"/>
            </w:tcBorders>
            <w:vAlign w:val="center"/>
          </w:tcPr>
          <w:p>
            <w:pPr>
              <w:jc w:val="center"/>
              <w:rPr>
                <w:rFonts w:hint="eastAsia" w:cs="宋体"/>
                <w:color w:val="auto"/>
                <w:lang w:val="en-US" w:eastAsia="zh-Hans"/>
              </w:rPr>
            </w:pPr>
            <w:r>
              <w:rPr>
                <w:rFonts w:hint="eastAsia" w:cs="宋体"/>
                <w:color w:val="auto"/>
                <w:lang w:val="en-US" w:eastAsia="zh-Hans"/>
              </w:rPr>
              <w:t>合同编号</w:t>
            </w:r>
          </w:p>
        </w:tc>
        <w:tc>
          <w:tcPr>
            <w:tcW w:w="1684" w:type="dxa"/>
            <w:gridSpan w:val="2"/>
            <w:tcBorders>
              <w:top w:val="single" w:color="auto" w:sz="12" w:space="0"/>
              <w:left w:val="single" w:color="auto" w:sz="2" w:space="0"/>
              <w:bottom w:val="single" w:color="auto" w:sz="2" w:space="0"/>
              <w:right w:val="single" w:color="auto" w:sz="12" w:space="0"/>
            </w:tcBorders>
            <w:vAlign w:val="center"/>
          </w:tcPr>
          <w:p>
            <w:pPr>
              <w:jc w:val="center"/>
              <w:rPr>
                <w:rFonts w:hint="eastAsia" w:cs="宋体"/>
                <w:color w:val="auto"/>
                <w:lang w:val="en-US" w:eastAsia="zh-Hans"/>
              </w:rPr>
            </w:pPr>
            <w:r>
              <w:rPr>
                <w:rFonts w:hint="eastAsia" w:cs="宋体"/>
                <w:color w:val="auto"/>
                <w:lang w:val="en-US" w:eastAsia="zh-Hans"/>
              </w:rPr>
              <w:t>郑大-竞谈-2021-0147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trPr>
        <w:tc>
          <w:tcPr>
            <w:tcW w:w="1206" w:type="dxa"/>
            <w:gridSpan w:val="2"/>
            <w:tcBorders>
              <w:left w:val="single" w:color="auto" w:sz="12" w:space="0"/>
              <w:right w:val="single" w:color="auto" w:sz="2" w:space="0"/>
            </w:tcBorders>
            <w:vAlign w:val="center"/>
          </w:tcPr>
          <w:p>
            <w:pPr>
              <w:jc w:val="center"/>
              <w:rPr>
                <w:rFonts w:hint="eastAsia" w:cs="宋体"/>
                <w:color w:val="auto"/>
                <w:lang w:val="en-US" w:eastAsia="zh-Hans"/>
              </w:rPr>
            </w:pPr>
            <w:r>
              <w:rPr>
                <w:rFonts w:hint="eastAsia" w:cs="宋体"/>
                <w:color w:val="auto"/>
                <w:lang w:val="en-US" w:eastAsia="zh-Hans"/>
              </w:rPr>
              <w:t>供货商</w:t>
            </w:r>
          </w:p>
        </w:tc>
        <w:tc>
          <w:tcPr>
            <w:tcW w:w="4309" w:type="dxa"/>
            <w:gridSpan w:val="6"/>
            <w:tcBorders>
              <w:left w:val="single" w:color="auto" w:sz="2" w:space="0"/>
              <w:right w:val="single" w:color="auto" w:sz="2" w:space="0"/>
            </w:tcBorders>
            <w:vAlign w:val="center"/>
          </w:tcPr>
          <w:p>
            <w:pPr>
              <w:jc w:val="center"/>
              <w:rPr>
                <w:rFonts w:hint="eastAsia" w:cs="宋体"/>
                <w:color w:val="auto"/>
                <w:lang w:val="en-US" w:eastAsia="zh-Hans"/>
              </w:rPr>
            </w:pPr>
            <w:r>
              <w:rPr>
                <w:rFonts w:hint="default" w:cs="宋体"/>
                <w:color w:val="auto"/>
                <w:lang w:val="en-US" w:eastAsia="zh-Hans"/>
              </w:rPr>
              <w:t>河南邦德仪器设备有限公司</w:t>
            </w:r>
          </w:p>
        </w:tc>
        <w:tc>
          <w:tcPr>
            <w:tcW w:w="1654" w:type="dxa"/>
            <w:gridSpan w:val="4"/>
            <w:tcBorders>
              <w:left w:val="single" w:color="auto" w:sz="2" w:space="0"/>
              <w:right w:val="single" w:color="auto" w:sz="2" w:space="0"/>
            </w:tcBorders>
            <w:vAlign w:val="center"/>
          </w:tcPr>
          <w:p>
            <w:pPr>
              <w:jc w:val="center"/>
              <w:rPr>
                <w:rFonts w:hint="eastAsia" w:cs="宋体"/>
                <w:lang w:val="en-US" w:eastAsia="zh-Hans"/>
              </w:rPr>
            </w:pPr>
            <w:r>
              <w:rPr>
                <w:rFonts w:hint="eastAsia" w:cs="宋体"/>
                <w:lang w:val="en-US" w:eastAsia="zh-Hans"/>
              </w:rPr>
              <w:t xml:space="preserve">合同总金额   </w:t>
            </w:r>
          </w:p>
        </w:tc>
        <w:tc>
          <w:tcPr>
            <w:tcW w:w="1684" w:type="dxa"/>
            <w:gridSpan w:val="2"/>
            <w:tcBorders>
              <w:left w:val="single" w:color="auto" w:sz="2" w:space="0"/>
              <w:right w:val="single" w:color="auto" w:sz="12" w:space="0"/>
            </w:tcBorders>
            <w:vAlign w:val="center"/>
          </w:tcPr>
          <w:p>
            <w:pPr>
              <w:jc w:val="center"/>
              <w:rPr>
                <w:rFonts w:hint="eastAsia" w:cs="宋体"/>
                <w:lang w:val="en-US" w:eastAsia="zh-Hans"/>
              </w:rPr>
            </w:pPr>
            <w:r>
              <w:rPr>
                <w:rFonts w:hint="default" w:cs="宋体"/>
                <w:lang w:eastAsia="zh-Hans"/>
              </w:rPr>
              <w:t>479800</w:t>
            </w:r>
            <w:r>
              <w:rPr>
                <w:rFonts w:hint="eastAsia" w:cs="宋体"/>
                <w:lang w:val="en-US" w:eastAsia="zh-Hans"/>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trPr>
        <w:tc>
          <w:tcPr>
            <w:tcW w:w="8853" w:type="dxa"/>
            <w:gridSpan w:val="14"/>
            <w:tcBorders>
              <w:left w:val="single" w:color="auto" w:sz="12" w:space="0"/>
              <w:right w:val="single" w:color="auto" w:sz="12" w:space="0"/>
            </w:tcBorders>
            <w:vAlign w:val="center"/>
          </w:tcPr>
          <w:p>
            <w:pPr>
              <w:jc w:val="center"/>
            </w:pPr>
            <w:r>
              <w:rPr>
                <w:rFonts w:hint="eastAsia" w:cs="宋体"/>
              </w:rPr>
              <w:t>设备明细（品名、型号、规格、生产厂家、数量、金额等，不够可另附表）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443" w:type="dxa"/>
            <w:tcBorders>
              <w:left w:val="single" w:color="auto" w:sz="12" w:space="0"/>
              <w:bottom w:val="single" w:color="auto" w:sz="2" w:space="0"/>
              <w:right w:val="single" w:color="auto" w:sz="2" w:space="0"/>
            </w:tcBorders>
            <w:vAlign w:val="center"/>
          </w:tcPr>
          <w:p>
            <w:pPr>
              <w:jc w:val="center"/>
              <w:rPr>
                <w:b/>
                <w:bCs/>
              </w:rPr>
            </w:pPr>
            <w:r>
              <w:rPr>
                <w:rFonts w:hint="eastAsia" w:cs="宋体"/>
                <w:b/>
                <w:bCs/>
              </w:rPr>
              <w:t>序号</w:t>
            </w:r>
          </w:p>
        </w:tc>
        <w:tc>
          <w:tcPr>
            <w:tcW w:w="1291" w:type="dxa"/>
            <w:gridSpan w:val="3"/>
            <w:tcBorders>
              <w:left w:val="single" w:color="auto" w:sz="2" w:space="0"/>
              <w:bottom w:val="single" w:color="auto" w:sz="2" w:space="0"/>
              <w:right w:val="single" w:color="auto" w:sz="2" w:space="0"/>
            </w:tcBorders>
            <w:vAlign w:val="center"/>
          </w:tcPr>
          <w:p>
            <w:pPr>
              <w:jc w:val="center"/>
              <w:rPr>
                <w:b/>
                <w:bCs/>
              </w:rPr>
            </w:pPr>
            <w:r>
              <w:rPr>
                <w:rFonts w:hint="eastAsia" w:cs="宋体"/>
                <w:b/>
                <w:bCs/>
              </w:rPr>
              <w:t>品名</w:t>
            </w:r>
          </w:p>
        </w:tc>
        <w:tc>
          <w:tcPr>
            <w:tcW w:w="2619" w:type="dxa"/>
            <w:gridSpan w:val="3"/>
            <w:tcBorders>
              <w:left w:val="single" w:color="auto" w:sz="2" w:space="0"/>
              <w:bottom w:val="single" w:color="auto" w:sz="2" w:space="0"/>
              <w:right w:val="single" w:color="auto" w:sz="2" w:space="0"/>
            </w:tcBorders>
            <w:vAlign w:val="center"/>
          </w:tcPr>
          <w:p>
            <w:pPr>
              <w:jc w:val="center"/>
              <w:rPr>
                <w:b/>
                <w:bCs/>
              </w:rPr>
            </w:pPr>
            <w:r>
              <w:rPr>
                <w:rFonts w:hint="eastAsia" w:cs="宋体"/>
                <w:b/>
                <w:bCs/>
              </w:rPr>
              <w:t>技术参数</w:t>
            </w:r>
          </w:p>
          <w:p>
            <w:pPr>
              <w:jc w:val="center"/>
              <w:rPr>
                <w:b/>
                <w:bCs/>
              </w:rPr>
            </w:pPr>
            <w:r>
              <w:rPr>
                <w:rFonts w:hint="eastAsia" w:cs="宋体"/>
                <w:b/>
                <w:bCs/>
              </w:rPr>
              <w:t>（规格型号）</w:t>
            </w:r>
          </w:p>
        </w:tc>
        <w:tc>
          <w:tcPr>
            <w:tcW w:w="1909" w:type="dxa"/>
            <w:gridSpan w:val="2"/>
            <w:tcBorders>
              <w:left w:val="single" w:color="auto" w:sz="2" w:space="0"/>
              <w:bottom w:val="single" w:color="auto" w:sz="2" w:space="0"/>
              <w:right w:val="single" w:color="auto" w:sz="2" w:space="0"/>
            </w:tcBorders>
            <w:vAlign w:val="center"/>
          </w:tcPr>
          <w:p>
            <w:pPr>
              <w:jc w:val="center"/>
              <w:rPr>
                <w:b/>
                <w:bCs/>
              </w:rPr>
            </w:pPr>
            <w:r>
              <w:rPr>
                <w:rFonts w:hint="eastAsia" w:cs="宋体"/>
                <w:b/>
                <w:bCs/>
              </w:rPr>
              <w:t>生产厂家（产地）</w:t>
            </w:r>
          </w:p>
        </w:tc>
        <w:tc>
          <w:tcPr>
            <w:tcW w:w="525" w:type="dxa"/>
            <w:gridSpan w:val="2"/>
            <w:tcBorders>
              <w:top w:val="single" w:color="auto" w:sz="2" w:space="0"/>
              <w:left w:val="single" w:color="auto" w:sz="2" w:space="0"/>
              <w:bottom w:val="single" w:color="auto" w:sz="2" w:space="0"/>
              <w:right w:val="single" w:color="auto" w:sz="2" w:space="0"/>
            </w:tcBorders>
            <w:vAlign w:val="center"/>
          </w:tcPr>
          <w:p>
            <w:pPr>
              <w:jc w:val="center"/>
              <w:rPr>
                <w:b/>
                <w:bCs/>
              </w:rPr>
            </w:pPr>
            <w:r>
              <w:rPr>
                <w:rFonts w:hint="eastAsia" w:cs="宋体"/>
                <w:b/>
                <w:bCs/>
              </w:rPr>
              <w:t>数量</w:t>
            </w:r>
          </w:p>
        </w:tc>
        <w:tc>
          <w:tcPr>
            <w:tcW w:w="880" w:type="dxa"/>
            <w:gridSpan w:val="2"/>
            <w:tcBorders>
              <w:top w:val="single" w:color="auto" w:sz="2" w:space="0"/>
              <w:left w:val="single" w:color="auto" w:sz="2" w:space="0"/>
              <w:bottom w:val="single" w:color="auto" w:sz="2" w:space="0"/>
            </w:tcBorders>
            <w:vAlign w:val="center"/>
          </w:tcPr>
          <w:p>
            <w:pPr>
              <w:jc w:val="center"/>
              <w:rPr>
                <w:b/>
                <w:bCs/>
              </w:rPr>
            </w:pPr>
            <w:r>
              <w:rPr>
                <w:rFonts w:hint="eastAsia" w:cs="宋体"/>
                <w:b/>
                <w:bCs/>
              </w:rPr>
              <w:t>单位</w:t>
            </w:r>
          </w:p>
        </w:tc>
        <w:tc>
          <w:tcPr>
            <w:tcW w:w="1186" w:type="dxa"/>
            <w:tcBorders>
              <w:bottom w:val="single" w:color="auto" w:sz="2" w:space="0"/>
              <w:right w:val="single" w:color="auto" w:sz="12" w:space="0"/>
            </w:tcBorders>
            <w:vAlign w:val="center"/>
          </w:tcPr>
          <w:p>
            <w:pPr>
              <w:jc w:val="center"/>
              <w:rPr>
                <w:b/>
                <w:bCs/>
              </w:rPr>
            </w:pPr>
            <w:r>
              <w:rPr>
                <w:rFonts w:hint="eastAsia" w:cs="宋体"/>
                <w:b/>
                <w:bCs/>
              </w:rPr>
              <w:t>金额</w:t>
            </w:r>
            <w:r>
              <w:rPr>
                <w:rFonts w:hint="eastAsia" w:cs="宋体"/>
                <w:b/>
                <w:bCs/>
                <w:lang w:eastAsia="zh-Hans"/>
              </w:rPr>
              <w:t>（</w:t>
            </w:r>
            <w:r>
              <w:rPr>
                <w:rFonts w:hint="eastAsia" w:cs="宋体"/>
                <w:b/>
                <w:bCs/>
                <w:lang w:val="en-US" w:eastAsia="zh-Hans"/>
              </w:rPr>
              <w:t>元</w:t>
            </w:r>
            <w:r>
              <w:rPr>
                <w:rFonts w:hint="eastAsia"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443" w:type="dxa"/>
            <w:tcBorders>
              <w:top w:val="single" w:color="auto" w:sz="2" w:space="0"/>
              <w:left w:val="single" w:color="auto" w:sz="12" w:space="0"/>
              <w:bottom w:val="single" w:color="auto" w:sz="2" w:space="0"/>
              <w:right w:val="single" w:color="auto" w:sz="2" w:space="0"/>
            </w:tcBorders>
            <w:vAlign w:val="center"/>
          </w:tcPr>
          <w:p>
            <w:pPr>
              <w:spacing w:line="24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1</w:t>
            </w:r>
          </w:p>
        </w:tc>
        <w:tc>
          <w:tcPr>
            <w:tcW w:w="1291" w:type="dxa"/>
            <w:gridSpan w:val="3"/>
            <w:tcBorders>
              <w:top w:val="single" w:color="auto" w:sz="2" w:space="0"/>
              <w:left w:val="single" w:color="auto" w:sz="2" w:space="0"/>
              <w:right w:val="single" w:color="auto"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u w:val="none"/>
                <w:lang w:eastAsia="zh-Hans"/>
              </w:rPr>
              <w:t>工控安全防护系统平台</w:t>
            </w:r>
          </w:p>
        </w:tc>
        <w:tc>
          <w:tcPr>
            <w:tcW w:w="2619" w:type="dxa"/>
            <w:gridSpan w:val="3"/>
            <w:tcBorders>
              <w:top w:val="single" w:color="auto" w:sz="2" w:space="0"/>
              <w:left w:val="single" w:color="auto" w:sz="2" w:space="0"/>
              <w:right w:val="single" w:color="auto" w:sz="2" w:space="0"/>
            </w:tcBorders>
            <w:vAlign w:val="center"/>
          </w:tcPr>
          <w:p>
            <w:pPr>
              <w:spacing w:line="300" w:lineRule="exact"/>
              <w:ind w:firstLine="21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天融信NGFW4000-UF/TG-A2614</w:t>
            </w:r>
          </w:p>
        </w:tc>
        <w:tc>
          <w:tcPr>
            <w:tcW w:w="1909" w:type="dxa"/>
            <w:gridSpan w:val="2"/>
            <w:tcBorders>
              <w:top w:val="single" w:color="auto" w:sz="2" w:space="0"/>
              <w:left w:val="single" w:color="auto" w:sz="2" w:space="0"/>
              <w:right w:val="single" w:color="auto" w:sz="2" w:space="0"/>
            </w:tcBorders>
            <w:vAlign w:val="center"/>
          </w:tcPr>
          <w:p>
            <w:pPr>
              <w:spacing w:line="3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北京天融信网络安全技术有限公司</w:t>
            </w:r>
          </w:p>
        </w:tc>
        <w:tc>
          <w:tcPr>
            <w:tcW w:w="525" w:type="dxa"/>
            <w:gridSpan w:val="2"/>
            <w:tcBorders>
              <w:top w:val="single" w:color="auto" w:sz="2" w:space="0"/>
              <w:left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eastAsia="zh-CN" w:bidi="ar-SA"/>
              </w:rPr>
            </w:pPr>
            <w:r>
              <w:rPr>
                <w:rFonts w:hint="default" w:hAnsi="宋体" w:cs="宋体"/>
                <w:kern w:val="1"/>
                <w:sz w:val="21"/>
                <w:szCs w:val="21"/>
                <w:lang w:eastAsia="zh-CN" w:bidi="ar-SA"/>
              </w:rPr>
              <w:t>1</w:t>
            </w:r>
          </w:p>
        </w:tc>
        <w:tc>
          <w:tcPr>
            <w:tcW w:w="880" w:type="dxa"/>
            <w:gridSpan w:val="2"/>
            <w:tcBorders>
              <w:top w:val="single" w:color="auto" w:sz="2" w:space="0"/>
              <w:left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val="en-US" w:eastAsia="zh-CN" w:bidi="ar-SA"/>
              </w:rPr>
            </w:pPr>
            <w:r>
              <w:rPr>
                <w:rFonts w:hint="eastAsia" w:hAnsi="宋体" w:cs="宋体"/>
                <w:b w:val="0"/>
                <w:bCs w:val="0"/>
                <w:sz w:val="21"/>
                <w:szCs w:val="21"/>
                <w:lang w:val="en-US" w:eastAsia="zh-Hans"/>
              </w:rPr>
              <w:t>套</w:t>
            </w:r>
          </w:p>
        </w:tc>
        <w:tc>
          <w:tcPr>
            <w:tcW w:w="1186" w:type="dxa"/>
            <w:tcBorders>
              <w:top w:val="single" w:color="auto" w:sz="2" w:space="0"/>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357</w:t>
            </w:r>
            <w:r>
              <w:rPr>
                <w:rFonts w:hint="default" w:ascii="宋体" w:hAnsi="宋体" w:cs="宋体"/>
                <w:color w:val="auto"/>
                <w:szCs w:val="21"/>
                <w:highlight w:val="none"/>
                <w:lang w:eastAsia="zh-CN"/>
              </w:rPr>
              <w:t>0</w:t>
            </w:r>
            <w:r>
              <w:rPr>
                <w:rFonts w:hint="eastAsia" w:ascii="宋体" w:hAnsi="宋体" w:cs="宋体"/>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443" w:type="dxa"/>
            <w:tcBorders>
              <w:top w:val="single" w:color="auto" w:sz="2" w:space="0"/>
              <w:left w:val="single" w:color="auto" w:sz="12" w:space="0"/>
              <w:bottom w:val="single" w:color="auto" w:sz="2" w:space="0"/>
              <w:right w:val="single" w:color="auto" w:sz="2" w:space="0"/>
            </w:tcBorders>
            <w:vAlign w:val="center"/>
          </w:tcPr>
          <w:p>
            <w:pPr>
              <w:widowControl/>
              <w:spacing w:line="240" w:lineRule="auto"/>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bidi="ar"/>
              </w:rPr>
              <w:t>2</w:t>
            </w:r>
          </w:p>
        </w:tc>
        <w:tc>
          <w:tcPr>
            <w:tcW w:w="1291" w:type="dxa"/>
            <w:gridSpan w:val="3"/>
            <w:tcBorders>
              <w:left w:val="single" w:color="auto" w:sz="2" w:space="0"/>
              <w:right w:val="single" w:color="auto" w:sz="2" w:space="0"/>
            </w:tcBorders>
            <w:vAlign w:val="center"/>
          </w:tcPr>
          <w:p>
            <w:pPr>
              <w:spacing w:line="240" w:lineRule="auto"/>
              <w:jc w:val="center"/>
              <w:rPr>
                <w:rFonts w:hint="eastAsia" w:ascii="宋体" w:hAnsi="宋体" w:eastAsia="宋体" w:cs="宋体"/>
                <w:color w:val="auto"/>
                <w:kern w:val="1"/>
                <w:sz w:val="21"/>
                <w:szCs w:val="21"/>
                <w:highlight w:val="none"/>
                <w:lang w:val="en-US" w:eastAsia="zh-CN" w:bidi="ar-SA"/>
              </w:rPr>
            </w:pPr>
            <w:r>
              <w:rPr>
                <w:rFonts w:hint="eastAsia" w:ascii="宋体" w:hAnsi="宋体" w:eastAsia="宋体" w:cs="宋体"/>
                <w:color w:val="auto"/>
                <w:sz w:val="21"/>
                <w:szCs w:val="21"/>
                <w:lang w:eastAsia="zh-Hans"/>
              </w:rPr>
              <w:t>终端安全防护系统</w:t>
            </w:r>
          </w:p>
        </w:tc>
        <w:tc>
          <w:tcPr>
            <w:tcW w:w="2619" w:type="dxa"/>
            <w:gridSpan w:val="3"/>
            <w:tcBorders>
              <w:left w:val="single" w:color="auto" w:sz="2" w:space="0"/>
              <w:right w:val="single" w:color="auto" w:sz="2" w:space="0"/>
            </w:tcBorders>
            <w:vAlign w:val="center"/>
          </w:tcPr>
          <w:p>
            <w:pPr>
              <w:spacing w:line="300" w:lineRule="exact"/>
              <w:ind w:firstLine="210" w:firstLineChars="0"/>
              <w:jc w:val="center"/>
              <w:rPr>
                <w:rFonts w:hint="eastAsia" w:ascii="Times New Roman" w:hAnsi="Times New Roman" w:eastAsia="宋体" w:cs="Times New Roman"/>
                <w:kern w:val="1"/>
                <w:sz w:val="21"/>
                <w:szCs w:val="24"/>
                <w:lang w:val="en-US" w:eastAsia="zh-CN" w:bidi="ar-SA"/>
              </w:rPr>
            </w:pPr>
            <w:r>
              <w:rPr>
                <w:rFonts w:hint="eastAsia" w:ascii="宋体" w:hAnsi="宋体" w:cs="宋体"/>
                <w:color w:val="auto"/>
                <w:kern w:val="2"/>
                <w:sz w:val="21"/>
                <w:szCs w:val="21"/>
                <w:highlight w:val="none"/>
                <w:lang w:val="en-US" w:eastAsia="zh-CN" w:bidi="ar-SA"/>
              </w:rPr>
              <w:t>天融信TopEDR/EDR-E-WINSER3/LINUX3-LIC1</w:t>
            </w:r>
          </w:p>
        </w:tc>
        <w:tc>
          <w:tcPr>
            <w:tcW w:w="1909" w:type="dxa"/>
            <w:gridSpan w:val="2"/>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北京天融信网络安全技术有限公司</w:t>
            </w:r>
          </w:p>
        </w:tc>
        <w:tc>
          <w:tcPr>
            <w:tcW w:w="525" w:type="dxa"/>
            <w:gridSpan w:val="2"/>
            <w:tcBorders>
              <w:left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eastAsia="zh-CN" w:bidi="ar-SA"/>
              </w:rPr>
            </w:pPr>
            <w:r>
              <w:rPr>
                <w:rFonts w:hint="default" w:hAnsi="宋体" w:cs="宋体"/>
                <w:kern w:val="1"/>
                <w:sz w:val="21"/>
                <w:szCs w:val="21"/>
                <w:lang w:eastAsia="zh-CN" w:bidi="ar-SA"/>
              </w:rPr>
              <w:t>1</w:t>
            </w:r>
          </w:p>
        </w:tc>
        <w:tc>
          <w:tcPr>
            <w:tcW w:w="880" w:type="dxa"/>
            <w:gridSpan w:val="2"/>
            <w:tcBorders>
              <w:left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val="en-US" w:eastAsia="zh-CN" w:bidi="ar-SA"/>
              </w:rPr>
            </w:pPr>
            <w:r>
              <w:rPr>
                <w:rFonts w:hint="eastAsia" w:ascii="宋体" w:hAnsi="宋体" w:eastAsia="宋体" w:cs="宋体"/>
                <w:kern w:val="2"/>
                <w:sz w:val="21"/>
                <w:szCs w:val="21"/>
                <w:lang w:val="en-US" w:eastAsia="zh-Hans"/>
              </w:rPr>
              <w:t>套</w:t>
            </w:r>
          </w:p>
        </w:tc>
        <w:tc>
          <w:tcPr>
            <w:tcW w:w="1186" w:type="dxa"/>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41</w:t>
            </w:r>
            <w:r>
              <w:rPr>
                <w:rFonts w:hint="default" w:ascii="宋体" w:hAnsi="宋体" w:cs="宋体"/>
                <w:color w:val="auto"/>
                <w:szCs w:val="21"/>
                <w:highlight w:val="none"/>
                <w:lang w:eastAsia="zh-CN"/>
              </w:rPr>
              <w:t>10</w:t>
            </w:r>
            <w:r>
              <w:rPr>
                <w:rFonts w:hint="eastAsia" w:ascii="宋体" w:hAnsi="宋体" w:cs="宋体"/>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trPr>
        <w:tc>
          <w:tcPr>
            <w:tcW w:w="443" w:type="dxa"/>
            <w:tcBorders>
              <w:top w:val="single" w:color="auto" w:sz="2" w:space="0"/>
              <w:left w:val="single" w:color="auto" w:sz="12" w:space="0"/>
              <w:bottom w:val="single" w:color="auto" w:sz="2" w:space="0"/>
              <w:right w:val="single" w:color="auto" w:sz="2" w:space="0"/>
            </w:tcBorders>
            <w:vAlign w:val="center"/>
          </w:tcPr>
          <w:p>
            <w:pPr>
              <w:widowControl/>
              <w:spacing w:line="240" w:lineRule="auto"/>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bidi="ar"/>
              </w:rPr>
              <w:t>3</w:t>
            </w:r>
          </w:p>
        </w:tc>
        <w:tc>
          <w:tcPr>
            <w:tcW w:w="1291" w:type="dxa"/>
            <w:gridSpan w:val="3"/>
            <w:tcBorders>
              <w:left w:val="single" w:color="auto" w:sz="2" w:space="0"/>
              <w:right w:val="single" w:color="auto" w:sz="2" w:space="0"/>
            </w:tcBorders>
            <w:vAlign w:val="center"/>
          </w:tcPr>
          <w:p>
            <w:pPr>
              <w:spacing w:line="240" w:lineRule="auto"/>
              <w:jc w:val="center"/>
              <w:rPr>
                <w:rFonts w:hint="eastAsia" w:ascii="宋体" w:hAnsi="宋体" w:eastAsia="宋体" w:cs="宋体"/>
                <w:color w:val="auto"/>
                <w:kern w:val="1"/>
                <w:sz w:val="21"/>
                <w:szCs w:val="21"/>
                <w:highlight w:val="none"/>
                <w:lang w:val="en-US" w:eastAsia="zh-CN" w:bidi="ar-SA"/>
              </w:rPr>
            </w:pPr>
            <w:r>
              <w:rPr>
                <w:rFonts w:hint="eastAsia" w:ascii="宋体" w:hAnsi="宋体" w:eastAsia="宋体" w:cs="宋体"/>
                <w:color w:val="auto"/>
                <w:sz w:val="21"/>
                <w:szCs w:val="21"/>
                <w:lang w:eastAsia="zh-Hans"/>
              </w:rPr>
              <w:t>安全审计系统平台</w:t>
            </w:r>
          </w:p>
        </w:tc>
        <w:tc>
          <w:tcPr>
            <w:tcW w:w="2619" w:type="dxa"/>
            <w:gridSpan w:val="3"/>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kern w:val="2"/>
                <w:sz w:val="21"/>
                <w:szCs w:val="21"/>
                <w:highlight w:val="none"/>
                <w:lang w:val="en-US" w:eastAsia="zh-CN" w:bidi="ar-SA"/>
              </w:rPr>
              <w:t>天融信</w:t>
            </w:r>
            <w:r>
              <w:rPr>
                <w:rFonts w:hint="eastAsia" w:ascii="宋体" w:hAnsi="宋体" w:cs="宋体"/>
                <w:color w:val="auto"/>
                <w:szCs w:val="21"/>
                <w:highlight w:val="none"/>
                <w:lang w:val="en-US" w:eastAsia="zh-CN"/>
              </w:rPr>
              <w:t>TopAudit/TA-L-SE-50</w:t>
            </w:r>
          </w:p>
        </w:tc>
        <w:tc>
          <w:tcPr>
            <w:tcW w:w="1909" w:type="dxa"/>
            <w:gridSpan w:val="2"/>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北京天融信网络安全技术有限公司</w:t>
            </w:r>
          </w:p>
        </w:tc>
        <w:tc>
          <w:tcPr>
            <w:tcW w:w="525" w:type="dxa"/>
            <w:gridSpan w:val="2"/>
            <w:tcBorders>
              <w:left w:val="single" w:color="auto" w:sz="2" w:space="0"/>
              <w:right w:val="single" w:color="auto" w:sz="2" w:space="0"/>
            </w:tcBorders>
            <w:vAlign w:val="center"/>
          </w:tcPr>
          <w:p>
            <w:pPr>
              <w:pStyle w:val="8"/>
              <w:tabs>
                <w:tab w:val="left" w:pos="284"/>
              </w:tabs>
              <w:spacing w:line="240" w:lineRule="auto"/>
              <w:jc w:val="center"/>
              <w:rPr>
                <w:rFonts w:hint="eastAsia" w:ascii="宋体" w:hAnsi="宋体" w:eastAsia="宋体" w:cs="宋体"/>
                <w:kern w:val="1"/>
                <w:sz w:val="21"/>
                <w:szCs w:val="21"/>
                <w:lang w:val="en-US" w:eastAsia="zh-CN" w:bidi="ar-SA"/>
              </w:rPr>
            </w:pPr>
            <w:r>
              <w:rPr>
                <w:rFonts w:hint="eastAsia" w:ascii="宋体" w:hAnsi="宋体" w:eastAsia="宋体" w:cs="宋体"/>
                <w:kern w:val="2"/>
                <w:sz w:val="21"/>
                <w:szCs w:val="21"/>
              </w:rPr>
              <w:t>1</w:t>
            </w:r>
          </w:p>
        </w:tc>
        <w:tc>
          <w:tcPr>
            <w:tcW w:w="880" w:type="dxa"/>
            <w:gridSpan w:val="2"/>
            <w:tcBorders>
              <w:left w:val="single" w:color="auto" w:sz="2" w:space="0"/>
              <w:right w:val="single" w:color="auto" w:sz="2" w:space="0"/>
            </w:tcBorders>
            <w:vAlign w:val="center"/>
          </w:tcPr>
          <w:p>
            <w:pPr>
              <w:pStyle w:val="8"/>
              <w:tabs>
                <w:tab w:val="left" w:pos="284"/>
              </w:tabs>
              <w:spacing w:line="240" w:lineRule="auto"/>
              <w:jc w:val="center"/>
              <w:rPr>
                <w:rFonts w:hint="eastAsia" w:ascii="宋体" w:hAnsi="宋体" w:eastAsia="宋体" w:cs="宋体"/>
                <w:kern w:val="1"/>
                <w:sz w:val="21"/>
                <w:szCs w:val="21"/>
                <w:lang w:val="en-US" w:eastAsia="zh-CN" w:bidi="ar-SA"/>
              </w:rPr>
            </w:pPr>
            <w:r>
              <w:rPr>
                <w:rFonts w:hint="eastAsia" w:ascii="宋体" w:hAnsi="宋体" w:eastAsia="宋体" w:cs="宋体"/>
                <w:kern w:val="2"/>
                <w:sz w:val="21"/>
                <w:szCs w:val="21"/>
                <w:lang w:val="en-US" w:eastAsia="zh-Hans"/>
              </w:rPr>
              <w:t>套</w:t>
            </w:r>
          </w:p>
        </w:tc>
        <w:tc>
          <w:tcPr>
            <w:tcW w:w="1186" w:type="dxa"/>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36500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trPr>
        <w:tc>
          <w:tcPr>
            <w:tcW w:w="443" w:type="dxa"/>
            <w:tcBorders>
              <w:top w:val="single" w:color="auto" w:sz="2" w:space="0"/>
              <w:left w:val="single" w:color="auto" w:sz="12" w:space="0"/>
              <w:bottom w:val="single" w:color="auto" w:sz="2" w:space="0"/>
              <w:right w:val="single" w:color="auto" w:sz="2" w:space="0"/>
            </w:tcBorders>
            <w:vAlign w:val="center"/>
          </w:tcPr>
          <w:p>
            <w:pPr>
              <w:widowControl/>
              <w:spacing w:line="240" w:lineRule="auto"/>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bidi="ar"/>
              </w:rPr>
              <w:t>4</w:t>
            </w:r>
          </w:p>
        </w:tc>
        <w:tc>
          <w:tcPr>
            <w:tcW w:w="1291" w:type="dxa"/>
            <w:gridSpan w:val="3"/>
            <w:tcBorders>
              <w:left w:val="single" w:color="auto" w:sz="2" w:space="0"/>
              <w:right w:val="single" w:color="auto" w:sz="2" w:space="0"/>
            </w:tcBorders>
            <w:vAlign w:val="center"/>
          </w:tcPr>
          <w:p>
            <w:pPr>
              <w:spacing w:line="240" w:lineRule="auto"/>
              <w:jc w:val="center"/>
              <w:rPr>
                <w:rFonts w:hint="eastAsia" w:ascii="宋体" w:hAnsi="宋体" w:eastAsia="宋体" w:cs="宋体"/>
                <w:color w:val="auto"/>
                <w:kern w:val="1"/>
                <w:sz w:val="21"/>
                <w:szCs w:val="21"/>
                <w:highlight w:val="none"/>
                <w:lang w:val="en-US" w:eastAsia="zh-CN" w:bidi="ar-SA"/>
              </w:rPr>
            </w:pPr>
            <w:r>
              <w:rPr>
                <w:rFonts w:hint="eastAsia" w:ascii="宋体" w:hAnsi="宋体" w:eastAsia="宋体" w:cs="宋体"/>
                <w:color w:val="auto"/>
                <w:kern w:val="0"/>
                <w:sz w:val="21"/>
                <w:szCs w:val="21"/>
              </w:rPr>
              <w:t>WEB</w:t>
            </w:r>
            <w:r>
              <w:rPr>
                <w:rFonts w:hint="eastAsia" w:ascii="宋体" w:hAnsi="宋体" w:eastAsia="宋体" w:cs="宋体"/>
                <w:color w:val="auto"/>
                <w:kern w:val="0"/>
                <w:sz w:val="21"/>
                <w:szCs w:val="21"/>
                <w:lang w:eastAsia="zh-Hans"/>
              </w:rPr>
              <w:t>安全应用平台</w:t>
            </w:r>
          </w:p>
        </w:tc>
        <w:tc>
          <w:tcPr>
            <w:tcW w:w="2619" w:type="dxa"/>
            <w:gridSpan w:val="3"/>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kern w:val="2"/>
                <w:sz w:val="21"/>
                <w:szCs w:val="21"/>
                <w:highlight w:val="none"/>
                <w:lang w:val="en-US" w:eastAsia="zh-CN" w:bidi="ar-SA"/>
              </w:rPr>
              <w:t>天融信</w:t>
            </w:r>
            <w:r>
              <w:rPr>
                <w:rFonts w:hint="eastAsia" w:ascii="宋体" w:hAnsi="宋体" w:cs="宋体"/>
                <w:color w:val="auto"/>
                <w:szCs w:val="21"/>
                <w:highlight w:val="none"/>
                <w:lang w:val="en-US" w:eastAsia="zh-CN"/>
              </w:rPr>
              <w:t>TopWAF/TWF-A3106</w:t>
            </w:r>
          </w:p>
        </w:tc>
        <w:tc>
          <w:tcPr>
            <w:tcW w:w="1909" w:type="dxa"/>
            <w:gridSpan w:val="2"/>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北京天融信网络安全技术有限公司</w:t>
            </w:r>
          </w:p>
        </w:tc>
        <w:tc>
          <w:tcPr>
            <w:tcW w:w="525" w:type="dxa"/>
            <w:gridSpan w:val="2"/>
            <w:tcBorders>
              <w:left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val="en-US" w:eastAsia="zh-CN" w:bidi="ar-SA"/>
              </w:rPr>
            </w:pPr>
            <w:r>
              <w:rPr>
                <w:rFonts w:hint="eastAsia" w:ascii="宋体" w:hAnsi="宋体" w:eastAsia="宋体" w:cs="宋体"/>
                <w:kern w:val="2"/>
                <w:sz w:val="21"/>
                <w:szCs w:val="21"/>
              </w:rPr>
              <w:t>1</w:t>
            </w:r>
          </w:p>
        </w:tc>
        <w:tc>
          <w:tcPr>
            <w:tcW w:w="880" w:type="dxa"/>
            <w:gridSpan w:val="2"/>
            <w:tcBorders>
              <w:left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val="en-US" w:eastAsia="zh-CN" w:bidi="ar-SA"/>
              </w:rPr>
            </w:pPr>
            <w:r>
              <w:rPr>
                <w:rFonts w:hint="eastAsia" w:ascii="宋体" w:hAnsi="宋体" w:eastAsia="宋体" w:cs="宋体"/>
                <w:kern w:val="2"/>
                <w:sz w:val="21"/>
                <w:szCs w:val="21"/>
                <w:lang w:val="en-US" w:eastAsia="zh-Hans"/>
              </w:rPr>
              <w:t>套</w:t>
            </w:r>
          </w:p>
        </w:tc>
        <w:tc>
          <w:tcPr>
            <w:tcW w:w="1186" w:type="dxa"/>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34500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trPr>
        <w:tc>
          <w:tcPr>
            <w:tcW w:w="443" w:type="dxa"/>
            <w:tcBorders>
              <w:top w:val="single" w:color="auto" w:sz="2" w:space="0"/>
              <w:left w:val="single" w:color="auto" w:sz="12" w:space="0"/>
              <w:bottom w:val="single" w:color="auto" w:sz="2" w:space="0"/>
              <w:right w:val="single" w:color="auto" w:sz="2" w:space="0"/>
            </w:tcBorders>
            <w:vAlign w:val="center"/>
          </w:tcPr>
          <w:p>
            <w:pPr>
              <w:widowControl/>
              <w:spacing w:line="240" w:lineRule="auto"/>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bidi="ar"/>
              </w:rPr>
              <w:t>5</w:t>
            </w:r>
          </w:p>
        </w:tc>
        <w:tc>
          <w:tcPr>
            <w:tcW w:w="1291" w:type="dxa"/>
            <w:gridSpan w:val="3"/>
            <w:tcBorders>
              <w:left w:val="single" w:color="auto" w:sz="2" w:space="0"/>
              <w:right w:val="single" w:color="auto" w:sz="2" w:space="0"/>
            </w:tcBorders>
            <w:vAlign w:val="center"/>
          </w:tcPr>
          <w:p>
            <w:pPr>
              <w:spacing w:line="240" w:lineRule="auto"/>
              <w:jc w:val="center"/>
              <w:rPr>
                <w:rFonts w:hint="eastAsia" w:ascii="宋体" w:hAnsi="宋体" w:eastAsia="宋体" w:cs="宋体"/>
                <w:color w:val="auto"/>
                <w:kern w:val="1"/>
                <w:sz w:val="21"/>
                <w:szCs w:val="21"/>
                <w:highlight w:val="none"/>
                <w:lang w:val="en-US" w:eastAsia="zh-CN" w:bidi="ar-SA"/>
              </w:rPr>
            </w:pPr>
            <w:r>
              <w:rPr>
                <w:rFonts w:hint="eastAsia" w:ascii="宋体" w:hAnsi="宋体" w:eastAsia="宋体" w:cs="宋体"/>
                <w:i w:val="0"/>
                <w:iCs w:val="0"/>
                <w:color w:val="auto"/>
                <w:kern w:val="0"/>
                <w:sz w:val="21"/>
                <w:szCs w:val="21"/>
                <w:u w:val="none"/>
                <w:lang w:val="en-US" w:eastAsia="zh-CN" w:bidi="ar"/>
              </w:rPr>
              <w:t>24口接入交换机</w:t>
            </w:r>
          </w:p>
        </w:tc>
        <w:tc>
          <w:tcPr>
            <w:tcW w:w="2619" w:type="dxa"/>
            <w:gridSpan w:val="3"/>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华三S5130S-28S-E1</w:t>
            </w:r>
          </w:p>
        </w:tc>
        <w:tc>
          <w:tcPr>
            <w:tcW w:w="1909" w:type="dxa"/>
            <w:gridSpan w:val="2"/>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新华三技术有限公司</w:t>
            </w:r>
          </w:p>
        </w:tc>
        <w:tc>
          <w:tcPr>
            <w:tcW w:w="525" w:type="dxa"/>
            <w:gridSpan w:val="2"/>
            <w:tcBorders>
              <w:left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eastAsia="zh-CN" w:bidi="ar-SA"/>
              </w:rPr>
            </w:pPr>
            <w:r>
              <w:rPr>
                <w:rFonts w:hint="default" w:hAnsi="宋体" w:cs="宋体"/>
                <w:kern w:val="2"/>
                <w:sz w:val="21"/>
                <w:szCs w:val="21"/>
              </w:rPr>
              <w:t>2</w:t>
            </w:r>
          </w:p>
        </w:tc>
        <w:tc>
          <w:tcPr>
            <w:tcW w:w="880" w:type="dxa"/>
            <w:gridSpan w:val="2"/>
            <w:tcBorders>
              <w:left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val="en-US" w:eastAsia="zh-CN" w:bidi="ar-SA"/>
              </w:rPr>
            </w:pPr>
            <w:r>
              <w:rPr>
                <w:rFonts w:hint="eastAsia" w:hAnsi="宋体" w:cs="宋体"/>
                <w:kern w:val="2"/>
                <w:sz w:val="21"/>
                <w:szCs w:val="21"/>
                <w:lang w:val="en-US" w:eastAsia="zh-Hans"/>
              </w:rPr>
              <w:t>台</w:t>
            </w:r>
          </w:p>
        </w:tc>
        <w:tc>
          <w:tcPr>
            <w:tcW w:w="1186" w:type="dxa"/>
            <w:tcBorders>
              <w:left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39500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trPr>
        <w:tc>
          <w:tcPr>
            <w:tcW w:w="443" w:type="dxa"/>
            <w:tcBorders>
              <w:top w:val="single" w:color="auto" w:sz="2" w:space="0"/>
              <w:left w:val="single" w:color="auto" w:sz="12" w:space="0"/>
              <w:bottom w:val="single" w:color="auto" w:sz="2" w:space="0"/>
              <w:right w:val="single" w:color="auto" w:sz="2" w:space="0"/>
            </w:tcBorders>
            <w:vAlign w:val="center"/>
          </w:tcPr>
          <w:p>
            <w:pPr>
              <w:widowControl/>
              <w:spacing w:line="240" w:lineRule="auto"/>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bidi="ar"/>
              </w:rPr>
              <w:t>6</w:t>
            </w:r>
          </w:p>
        </w:tc>
        <w:tc>
          <w:tcPr>
            <w:tcW w:w="1291" w:type="dxa"/>
            <w:gridSpan w:val="3"/>
            <w:tcBorders>
              <w:left w:val="single" w:color="auto" w:sz="2" w:space="0"/>
              <w:bottom w:val="single" w:color="auto" w:sz="2" w:space="0"/>
              <w:right w:val="single" w:color="auto" w:sz="2" w:space="0"/>
            </w:tcBorders>
            <w:vAlign w:val="center"/>
          </w:tcPr>
          <w:p>
            <w:pPr>
              <w:spacing w:line="240" w:lineRule="auto"/>
              <w:jc w:val="center"/>
              <w:rPr>
                <w:rFonts w:hint="eastAsia" w:ascii="宋体" w:hAnsi="宋体" w:eastAsia="宋体" w:cs="宋体"/>
                <w:color w:val="auto"/>
                <w:kern w:val="1"/>
                <w:sz w:val="21"/>
                <w:szCs w:val="21"/>
                <w:highlight w:val="none"/>
                <w:lang w:val="en-US" w:eastAsia="zh-CN" w:bidi="ar-SA"/>
              </w:rPr>
            </w:pPr>
            <w:r>
              <w:rPr>
                <w:rFonts w:hint="eastAsia" w:ascii="宋体" w:hAnsi="宋体" w:eastAsia="宋体" w:cs="宋体"/>
                <w:color w:val="auto"/>
                <w:kern w:val="0"/>
                <w:sz w:val="21"/>
                <w:szCs w:val="21"/>
              </w:rPr>
              <w:t>网络微分域</w:t>
            </w:r>
            <w:r>
              <w:rPr>
                <w:rFonts w:hint="eastAsia" w:ascii="宋体" w:hAnsi="宋体" w:eastAsia="宋体" w:cs="宋体"/>
                <w:color w:val="auto"/>
                <w:kern w:val="0"/>
                <w:sz w:val="21"/>
                <w:szCs w:val="21"/>
                <w:lang w:eastAsia="zh-CN"/>
              </w:rPr>
              <w:t>安全平台</w:t>
            </w:r>
          </w:p>
        </w:tc>
        <w:tc>
          <w:tcPr>
            <w:tcW w:w="2619" w:type="dxa"/>
            <w:gridSpan w:val="3"/>
            <w:tcBorders>
              <w:left w:val="single" w:color="auto" w:sz="2" w:space="0"/>
              <w:bottom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山石网科CloudHive-vSSM</w:t>
            </w:r>
          </w:p>
        </w:tc>
        <w:tc>
          <w:tcPr>
            <w:tcW w:w="1909" w:type="dxa"/>
            <w:gridSpan w:val="2"/>
            <w:tcBorders>
              <w:left w:val="single" w:color="auto" w:sz="2" w:space="0"/>
              <w:bottom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北京山石网科信息技术有限公司</w:t>
            </w:r>
          </w:p>
        </w:tc>
        <w:tc>
          <w:tcPr>
            <w:tcW w:w="525" w:type="dxa"/>
            <w:gridSpan w:val="2"/>
            <w:tcBorders>
              <w:left w:val="single" w:color="auto" w:sz="2" w:space="0"/>
              <w:bottom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val="en-US" w:eastAsia="zh-CN" w:bidi="ar-SA"/>
              </w:rPr>
            </w:pPr>
            <w:r>
              <w:rPr>
                <w:rFonts w:hint="eastAsia" w:ascii="宋体" w:hAnsi="宋体" w:eastAsia="宋体" w:cs="宋体"/>
                <w:kern w:val="2"/>
                <w:sz w:val="21"/>
                <w:szCs w:val="21"/>
              </w:rPr>
              <w:t>1</w:t>
            </w:r>
          </w:p>
        </w:tc>
        <w:tc>
          <w:tcPr>
            <w:tcW w:w="880" w:type="dxa"/>
            <w:gridSpan w:val="2"/>
            <w:tcBorders>
              <w:left w:val="single" w:color="auto" w:sz="2" w:space="0"/>
              <w:bottom w:val="single" w:color="auto" w:sz="2" w:space="0"/>
              <w:right w:val="single" w:color="auto" w:sz="2" w:space="0"/>
            </w:tcBorders>
            <w:vAlign w:val="center"/>
          </w:tcPr>
          <w:p>
            <w:pPr>
              <w:pStyle w:val="8"/>
              <w:spacing w:line="240" w:lineRule="auto"/>
              <w:jc w:val="center"/>
              <w:rPr>
                <w:rFonts w:hint="eastAsia" w:ascii="宋体" w:hAnsi="宋体" w:eastAsia="宋体" w:cs="宋体"/>
                <w:kern w:val="1"/>
                <w:sz w:val="21"/>
                <w:szCs w:val="21"/>
                <w:lang w:val="en-US" w:eastAsia="zh-CN" w:bidi="ar-SA"/>
              </w:rPr>
            </w:pPr>
            <w:r>
              <w:rPr>
                <w:rFonts w:hint="eastAsia" w:ascii="宋体" w:hAnsi="宋体" w:eastAsia="宋体" w:cs="宋体"/>
                <w:kern w:val="2"/>
                <w:sz w:val="21"/>
                <w:szCs w:val="21"/>
                <w:lang w:val="en-US" w:eastAsia="zh-Hans"/>
              </w:rPr>
              <w:t>套</w:t>
            </w:r>
          </w:p>
        </w:tc>
        <w:tc>
          <w:tcPr>
            <w:tcW w:w="1186" w:type="dxa"/>
            <w:tcBorders>
              <w:left w:val="single" w:color="auto" w:sz="2" w:space="0"/>
              <w:bottom w:val="single" w:color="auto" w:sz="2" w:space="0"/>
              <w:right w:val="single" w:color="auto" w:sz="2" w:space="0"/>
            </w:tcBorders>
            <w:vAlign w:val="center"/>
          </w:tcPr>
          <w:p>
            <w:pPr>
              <w:spacing w:line="500" w:lineRule="exact"/>
              <w:jc w:val="center"/>
              <w:rPr>
                <w:rFonts w:hint="eastAsia" w:ascii="宋体" w:hAnsi="宋体" w:eastAsia="宋体" w:cs="宋体"/>
                <w:color w:val="auto"/>
                <w:kern w:val="1"/>
                <w:sz w:val="21"/>
                <w:szCs w:val="21"/>
                <w:highlight w:val="none"/>
                <w:lang w:val="en-US" w:eastAsia="zh-CN" w:bidi="ar-SA"/>
              </w:rPr>
            </w:pPr>
            <w:r>
              <w:rPr>
                <w:rFonts w:hint="eastAsia" w:ascii="宋体" w:hAnsi="宋体" w:cs="宋体"/>
                <w:color w:val="auto"/>
                <w:szCs w:val="21"/>
                <w:highlight w:val="none"/>
                <w:lang w:val="en-US" w:eastAsia="zh-CN"/>
              </w:rPr>
              <w:t>253000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443" w:type="dxa"/>
            <w:vMerge w:val="restart"/>
            <w:tcBorders>
              <w:top w:val="single" w:color="auto" w:sz="12" w:space="0"/>
              <w:left w:val="single" w:color="auto" w:sz="12" w:space="0"/>
            </w:tcBorders>
            <w:textDirection w:val="tbRlV"/>
            <w:vAlign w:val="center"/>
          </w:tcPr>
          <w:p>
            <w:pPr>
              <w:ind w:left="113" w:right="113"/>
              <w:jc w:val="center"/>
            </w:pPr>
            <w:r>
              <w:rPr>
                <w:rFonts w:hint="eastAsia" w:cs="宋体"/>
              </w:rPr>
              <w:t>实</w:t>
            </w:r>
            <w:r>
              <w:t xml:space="preserve"> </w:t>
            </w:r>
            <w:r>
              <w:rPr>
                <w:rFonts w:hint="eastAsia" w:cs="宋体"/>
              </w:rPr>
              <w:t>物</w:t>
            </w:r>
            <w:r>
              <w:t xml:space="preserve"> </w:t>
            </w:r>
            <w:r>
              <w:rPr>
                <w:rFonts w:hint="eastAsia" w:cs="宋体"/>
              </w:rPr>
              <w:t>验</w:t>
            </w:r>
            <w:r>
              <w:t xml:space="preserve"> </w:t>
            </w:r>
            <w:r>
              <w:rPr>
                <w:rFonts w:hint="eastAsia" w:cs="宋体"/>
              </w:rPr>
              <w:t>收</w:t>
            </w:r>
            <w:r>
              <w:t xml:space="preserve"> </w:t>
            </w:r>
            <w:r>
              <w:rPr>
                <w:rFonts w:hint="eastAsia" w:cs="宋体"/>
              </w:rPr>
              <w:t>情</w:t>
            </w:r>
            <w:r>
              <w:t xml:space="preserve"> </w:t>
            </w:r>
            <w:r>
              <w:rPr>
                <w:rFonts w:hint="eastAsia" w:cs="宋体"/>
              </w:rPr>
              <w:t>况</w:t>
            </w:r>
          </w:p>
        </w:tc>
        <w:tc>
          <w:tcPr>
            <w:tcW w:w="8410" w:type="dxa"/>
            <w:gridSpan w:val="13"/>
            <w:tcBorders>
              <w:top w:val="single" w:color="auto" w:sz="12" w:space="0"/>
              <w:right w:val="single" w:color="auto" w:sz="12" w:space="0"/>
            </w:tcBorders>
          </w:tcPr>
          <w:p>
            <w:r>
              <w:rPr>
                <w:rFonts w:hint="eastAsia" w:cs="宋体"/>
              </w:rPr>
              <w:t>外观质量（有无残损，程度如何）。</w:t>
            </w: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3" w:hRule="atLeast"/>
        </w:trPr>
        <w:tc>
          <w:tcPr>
            <w:tcW w:w="443" w:type="dxa"/>
            <w:vMerge w:val="continue"/>
            <w:tcBorders>
              <w:left w:val="single" w:color="auto" w:sz="12" w:space="0"/>
            </w:tcBorders>
            <w:vAlign w:val="center"/>
          </w:tcPr>
          <w:p>
            <w:pPr>
              <w:jc w:val="center"/>
            </w:pPr>
          </w:p>
        </w:tc>
        <w:tc>
          <w:tcPr>
            <w:tcW w:w="8410" w:type="dxa"/>
            <w:gridSpan w:val="13"/>
            <w:tcBorders>
              <w:right w:val="single" w:color="auto" w:sz="12" w:space="0"/>
            </w:tcBorders>
          </w:tcPr>
          <w:p>
            <w:r>
              <w:rPr>
                <w:rFonts w:hint="eastAsia" w:cs="宋体"/>
              </w:rPr>
              <w:t>清点数量（主机、配件、型号、规格、产地是否与招投标文件、合同、发票、装箱单的数量相同，若有出入，说明缺件名称、规格、数量、金额）。</w:t>
            </w: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3" w:hRule="atLeast"/>
        </w:trPr>
        <w:tc>
          <w:tcPr>
            <w:tcW w:w="443" w:type="dxa"/>
            <w:vMerge w:val="continue"/>
            <w:tcBorders>
              <w:left w:val="single" w:color="auto" w:sz="12" w:space="0"/>
            </w:tcBorders>
            <w:vAlign w:val="center"/>
          </w:tcPr>
          <w:p>
            <w:pPr>
              <w:jc w:val="center"/>
            </w:pPr>
          </w:p>
        </w:tc>
        <w:tc>
          <w:tcPr>
            <w:tcW w:w="8410" w:type="dxa"/>
            <w:gridSpan w:val="13"/>
            <w:tcBorders>
              <w:right w:val="single" w:color="auto" w:sz="12" w:space="0"/>
            </w:tcBorders>
          </w:tcPr>
          <w:p>
            <w:r>
              <w:rPr>
                <w:rFonts w:hint="eastAsia" w:cs="宋体"/>
              </w:rPr>
              <w:t>仪器设备安装调试及使用人员培训情况（是否完成整套设备安装、有无安装缺陷，使用人员是否经过培训）。</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7" w:hRule="atLeast"/>
        </w:trPr>
        <w:tc>
          <w:tcPr>
            <w:tcW w:w="443" w:type="dxa"/>
            <w:tcBorders>
              <w:top w:val="single" w:color="auto" w:sz="12" w:space="0"/>
              <w:left w:val="single" w:color="auto" w:sz="12" w:space="0"/>
            </w:tcBorders>
            <w:textDirection w:val="tbRlV"/>
            <w:vAlign w:val="center"/>
          </w:tcPr>
          <w:p>
            <w:pPr>
              <w:ind w:left="113" w:right="113"/>
              <w:jc w:val="center"/>
            </w:pPr>
            <w:r>
              <w:rPr>
                <w:rFonts w:hint="eastAsia" w:cs="宋体"/>
              </w:rPr>
              <w:t>技术验收情况</w:t>
            </w:r>
          </w:p>
        </w:tc>
        <w:tc>
          <w:tcPr>
            <w:tcW w:w="8410" w:type="dxa"/>
            <w:gridSpan w:val="13"/>
            <w:tcBorders>
              <w:top w:val="single" w:color="auto" w:sz="12" w:space="0"/>
              <w:right w:val="single" w:color="auto" w:sz="12" w:space="0"/>
            </w:tcBorders>
          </w:tcPr>
          <w:p>
            <w:pPr>
              <w:rPr>
                <w:rFonts w:ascii="宋体" w:cs="宋体"/>
              </w:rPr>
            </w:pPr>
            <w:r>
              <w:rPr>
                <w:rFonts w:hint="eastAsia" w:ascii="宋体" w:hAnsi="宋体" w:cs="宋体"/>
              </w:rPr>
              <w:t>依据合同约定技术条款逐一测定设备的性能和各项技术指标，所测结果是否与合同约定技术条款规定的一样，性能是否稳定，配件是否齐全，是否有安全隐患，具体说明。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40" w:hRule="atLeast"/>
        </w:trPr>
        <w:tc>
          <w:tcPr>
            <w:tcW w:w="443" w:type="dxa"/>
            <w:tcBorders>
              <w:top w:val="single" w:color="auto" w:sz="12" w:space="0"/>
              <w:left w:val="single" w:color="auto" w:sz="12" w:space="0"/>
              <w:bottom w:val="single" w:color="000000" w:sz="12" w:space="0"/>
            </w:tcBorders>
            <w:textDirection w:val="tbRlV"/>
            <w:vAlign w:val="center"/>
          </w:tcPr>
          <w:p>
            <w:pPr>
              <w:spacing w:after="120"/>
              <w:ind w:left="113" w:right="113"/>
              <w:jc w:val="center"/>
            </w:pPr>
            <w:r>
              <w:rPr>
                <w:rFonts w:hint="eastAsia" w:cs="宋体"/>
              </w:rPr>
              <w:t>初步验收情况</w:t>
            </w:r>
          </w:p>
        </w:tc>
        <w:tc>
          <w:tcPr>
            <w:tcW w:w="8410" w:type="dxa"/>
            <w:gridSpan w:val="13"/>
            <w:tcBorders>
              <w:top w:val="single" w:color="auto" w:sz="12" w:space="0"/>
              <w:bottom w:val="single" w:color="000000" w:sz="12" w:space="0"/>
              <w:right w:val="single" w:color="auto" w:sz="12" w:space="0"/>
            </w:tcBorders>
            <w:vAlign w:val="center"/>
          </w:tcPr>
          <w:p>
            <w:pPr>
              <w:spacing w:line="240" w:lineRule="atLeast"/>
              <w:rPr>
                <w:rFonts w:ascii="宋体" w:cs="宋体"/>
              </w:rPr>
            </w:pPr>
            <w:r>
              <w:rPr>
                <w:rFonts w:hint="eastAsia" w:ascii="宋体" w:hAnsi="宋体" w:cs="宋体"/>
              </w:rPr>
              <w:t>□通过验收</w:t>
            </w:r>
            <w:r>
              <w:rPr>
                <w:rFonts w:ascii="宋体" w:hAnsi="宋体" w:cs="宋体"/>
              </w:rPr>
              <w:t xml:space="preserve">                  </w:t>
            </w:r>
            <w:r>
              <w:rPr>
                <w:rFonts w:hint="eastAsia" w:ascii="宋体" w:hAnsi="宋体" w:cs="宋体"/>
              </w:rPr>
              <w:t>□整改后再组织验收</w:t>
            </w:r>
          </w:p>
          <w:p>
            <w:pPr>
              <w:spacing w:line="240" w:lineRule="atLeast"/>
              <w:rPr>
                <w:rFonts w:ascii="宋体" w:cs="宋体"/>
              </w:rPr>
            </w:pPr>
          </w:p>
          <w:p>
            <w:pPr>
              <w:adjustRightInd w:val="0"/>
              <w:snapToGrid w:val="0"/>
            </w:pPr>
            <w:r>
              <w:rPr>
                <w:rFonts w:hint="eastAsia" w:ascii="宋体" w:hAnsi="宋体" w:cs="宋体"/>
              </w:rPr>
              <w:t>□不通过验收</w:t>
            </w:r>
            <w:r>
              <w:rPr>
                <w:rFonts w:ascii="宋体" w:hAnsi="宋体" w:cs="宋体"/>
              </w:rPr>
              <w:t xml:space="preserve">  </w:t>
            </w:r>
            <w:r>
              <w:rPr>
                <w:rFonts w:hint="eastAsia" w:ascii="宋体" w:hAnsi="宋体" w:cs="宋体"/>
              </w:rPr>
              <w:t>索赔要求</w:t>
            </w:r>
            <w:r>
              <w:rPr>
                <w:rFonts w:ascii="宋体" w:hAnsi="宋体" w:cs="宋体"/>
              </w:rPr>
              <w:t xml:space="preserve">      </w:t>
            </w:r>
            <w:r>
              <w:rPr>
                <w:rFonts w:hint="eastAsia" w:ascii="宋体" w:hAnsi="宋体" w:cs="宋体"/>
              </w:rPr>
              <w:t>□其他结论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63" w:hRule="atLeast"/>
        </w:trPr>
        <w:tc>
          <w:tcPr>
            <w:tcW w:w="1297" w:type="dxa"/>
            <w:gridSpan w:val="3"/>
            <w:tcBorders>
              <w:top w:val="single" w:color="000000" w:sz="12" w:space="0"/>
              <w:left w:val="single" w:color="000000" w:sz="12" w:space="0"/>
              <w:bottom w:val="single" w:color="000000" w:sz="12" w:space="0"/>
              <w:right w:val="single" w:color="000000" w:sz="12" w:space="0"/>
            </w:tcBorders>
            <w:vAlign w:val="center"/>
          </w:tcPr>
          <w:p>
            <w:pPr>
              <w:spacing w:line="240" w:lineRule="atLeast"/>
              <w:jc w:val="center"/>
              <w:rPr>
                <w:rFonts w:ascii="宋体" w:cs="宋体"/>
              </w:rPr>
            </w:pPr>
            <w:r>
              <w:rPr>
                <w:rFonts w:hint="eastAsia" w:ascii="宋体" w:hAnsi="宋体" w:cs="宋体"/>
              </w:rPr>
              <w:t>验收小组</w:t>
            </w:r>
          </w:p>
          <w:p>
            <w:pPr>
              <w:spacing w:line="240" w:lineRule="atLeast"/>
              <w:jc w:val="center"/>
              <w:rPr>
                <w:rFonts w:ascii="宋体" w:cs="宋体"/>
              </w:rPr>
            </w:pPr>
            <w:r>
              <w:rPr>
                <w:rFonts w:hint="eastAsia" w:ascii="宋体" w:hAnsi="宋体" w:cs="宋体"/>
              </w:rPr>
              <w:t>成员签字</w:t>
            </w:r>
          </w:p>
        </w:tc>
        <w:tc>
          <w:tcPr>
            <w:tcW w:w="3056" w:type="dxa"/>
            <w:gridSpan w:val="4"/>
            <w:tcBorders>
              <w:top w:val="single" w:color="000000" w:sz="12" w:space="0"/>
              <w:left w:val="single" w:color="000000" w:sz="12" w:space="0"/>
              <w:bottom w:val="single" w:color="000000" w:sz="12" w:space="0"/>
              <w:right w:val="single" w:color="000000" w:sz="12" w:space="0"/>
            </w:tcBorders>
            <w:vAlign w:val="center"/>
          </w:tcPr>
          <w:p>
            <w:pPr>
              <w:spacing w:line="240" w:lineRule="atLeast"/>
              <w:jc w:val="center"/>
              <w:rPr>
                <w:rFonts w:ascii="宋体" w:cs="宋体"/>
              </w:rPr>
            </w:pPr>
          </w:p>
        </w:tc>
        <w:tc>
          <w:tcPr>
            <w:tcW w:w="2109" w:type="dxa"/>
            <w:gridSpan w:val="3"/>
            <w:tcBorders>
              <w:top w:val="single" w:color="000000" w:sz="12" w:space="0"/>
              <w:left w:val="single" w:color="000000" w:sz="12" w:space="0"/>
              <w:bottom w:val="single" w:color="000000" w:sz="12" w:space="0"/>
              <w:right w:val="single" w:color="000000" w:sz="12" w:space="0"/>
            </w:tcBorders>
            <w:vAlign w:val="center"/>
          </w:tcPr>
          <w:p>
            <w:pPr>
              <w:spacing w:line="240" w:lineRule="atLeast"/>
              <w:rPr>
                <w:rFonts w:ascii="宋体" w:cs="宋体"/>
              </w:rPr>
            </w:pPr>
            <w:r>
              <w:rPr>
                <w:rFonts w:ascii="宋体" w:hAnsi="宋体" w:cs="宋体"/>
              </w:rPr>
              <w:t xml:space="preserve">    </w:t>
            </w:r>
            <w:r>
              <w:rPr>
                <w:rFonts w:hint="eastAsia" w:ascii="宋体" w:hAnsi="宋体" w:cs="宋体"/>
              </w:rPr>
              <w:t>供货商</w:t>
            </w:r>
          </w:p>
          <w:p>
            <w:pPr>
              <w:spacing w:line="240" w:lineRule="atLeast"/>
              <w:jc w:val="center"/>
              <w:rPr>
                <w:rFonts w:ascii="宋体" w:cs="宋体"/>
              </w:rPr>
            </w:pPr>
            <w:r>
              <w:rPr>
                <w:rFonts w:hint="eastAsia" w:ascii="宋体" w:hAnsi="宋体" w:cs="宋体"/>
              </w:rPr>
              <w:t>授权代表签字</w:t>
            </w:r>
          </w:p>
        </w:tc>
        <w:tc>
          <w:tcPr>
            <w:tcW w:w="2391" w:type="dxa"/>
            <w:gridSpan w:val="4"/>
            <w:tcBorders>
              <w:top w:val="single" w:color="000000" w:sz="12" w:space="0"/>
              <w:left w:val="single" w:color="000000" w:sz="12" w:space="0"/>
              <w:bottom w:val="single" w:color="000000" w:sz="12" w:space="0"/>
              <w:right w:val="single" w:color="000000" w:sz="12" w:space="0"/>
            </w:tcBorders>
            <w:vAlign w:val="center"/>
          </w:tcPr>
          <w:p>
            <w:pPr>
              <w:spacing w:line="240" w:lineRule="atLeast"/>
              <w:jc w:val="center"/>
              <w:rPr>
                <w:rFonts w:ascii="宋体" w:cs="宋体"/>
              </w:rPr>
            </w:pPr>
          </w:p>
        </w:tc>
      </w:tr>
    </w:tbl>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pStyle w:val="2"/>
        <w:rPr>
          <w:rFonts w:hint="eastAsia" w:ascii="宋体" w:hAnsi="宋体" w:cs="宋体"/>
          <w:b/>
          <w:bCs/>
          <w:sz w:val="28"/>
          <w:szCs w:val="28"/>
        </w:rPr>
      </w:pPr>
    </w:p>
    <w:p>
      <w:pPr>
        <w:pStyle w:val="3"/>
        <w:rPr>
          <w:rFonts w:hint="eastAsia" w:ascii="宋体" w:hAnsi="宋体" w:cs="宋体"/>
          <w:b/>
          <w:bCs/>
          <w:sz w:val="28"/>
          <w:szCs w:val="28"/>
        </w:rPr>
      </w:pPr>
    </w:p>
    <w:p>
      <w:pPr>
        <w:pStyle w:val="3"/>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ascii="宋体"/>
          <w:sz w:val="28"/>
          <w:szCs w:val="28"/>
        </w:rPr>
      </w:pPr>
      <w:r>
        <w:rPr>
          <w:rFonts w:hint="eastAsia" w:ascii="宋体" w:hAnsi="宋体" w:cs="宋体"/>
          <w:b/>
          <w:bCs/>
          <w:sz w:val="28"/>
          <w:szCs w:val="28"/>
        </w:rPr>
        <w:t>附</w:t>
      </w:r>
      <w:r>
        <w:rPr>
          <w:rFonts w:ascii="宋体" w:hAnsi="宋体" w:cs="宋体"/>
          <w:b/>
          <w:bCs/>
          <w:sz w:val="28"/>
          <w:szCs w:val="28"/>
        </w:rPr>
        <w:t>5</w:t>
      </w:r>
      <w:r>
        <w:rPr>
          <w:rFonts w:hint="eastAsia" w:ascii="宋体" w:hAnsi="宋体" w:cs="宋体"/>
          <w:b/>
          <w:bCs/>
          <w:sz w:val="28"/>
          <w:szCs w:val="28"/>
        </w:rPr>
        <w:t>：</w:t>
      </w:r>
      <w:r>
        <w:rPr>
          <w:rFonts w:ascii="宋体" w:hAnsi="宋体" w:cs="宋体"/>
          <w:b/>
          <w:bCs/>
          <w:sz w:val="28"/>
          <w:szCs w:val="28"/>
        </w:rPr>
        <w:t xml:space="preserve">  </w:t>
      </w:r>
      <w:r>
        <w:rPr>
          <w:rFonts w:ascii="宋体" w:hAnsi="宋体" w:cs="宋体"/>
          <w:sz w:val="28"/>
          <w:szCs w:val="28"/>
        </w:rPr>
        <w:t xml:space="preserve">              </w:t>
      </w:r>
    </w:p>
    <w:p>
      <w:pPr>
        <w:snapToGrid w:val="0"/>
        <w:spacing w:line="360" w:lineRule="auto"/>
        <w:rPr>
          <w:rFonts w:ascii="宋体" w:hAnsi="宋体" w:cs="宋体"/>
          <w:b/>
          <w:bCs/>
          <w:sz w:val="36"/>
          <w:szCs w:val="36"/>
        </w:rPr>
      </w:pPr>
      <w:r>
        <w:rPr>
          <w:rFonts w:ascii="宋体" w:hAnsi="宋体" w:cs="宋体"/>
          <w:b/>
          <w:bCs/>
          <w:sz w:val="28"/>
          <w:szCs w:val="28"/>
        </w:rPr>
        <w:t xml:space="preserve">                      </w:t>
      </w:r>
      <w:r>
        <w:rPr>
          <w:rFonts w:hint="eastAsia" w:ascii="宋体" w:hAnsi="宋体" w:cs="宋体"/>
          <w:b/>
          <w:bCs/>
          <w:sz w:val="36"/>
          <w:szCs w:val="36"/>
        </w:rPr>
        <w:t>中标通知书</w:t>
      </w:r>
      <w:r>
        <w:rPr>
          <w:rFonts w:ascii="宋体" w:hAnsi="宋体" w:cs="宋体"/>
          <w:b/>
          <w:bCs/>
          <w:sz w:val="36"/>
          <w:szCs w:val="36"/>
        </w:rPr>
        <w:t xml:space="preserve"> </w:t>
      </w:r>
    </w:p>
    <w:p>
      <w:bookmarkStart w:id="0" w:name="_GoBack"/>
      <w:bookmarkEnd w:id="0"/>
      <w:r>
        <w:drawing>
          <wp:inline distT="0" distB="0" distL="114300" distR="114300">
            <wp:extent cx="5262880" cy="7627620"/>
            <wp:effectExtent l="0" t="0" r="20320" b="17780"/>
            <wp:docPr id="23" name="图片 23" descr="WechatIM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echatIMG183"/>
                    <pic:cNvPicPr>
                      <a:picLocks noChangeAspect="1"/>
                    </pic:cNvPicPr>
                  </pic:nvPicPr>
                  <pic:blipFill>
                    <a:blip r:embed="rId13"/>
                    <a:stretch>
                      <a:fillRect/>
                    </a:stretch>
                  </pic:blipFill>
                  <pic:spPr>
                    <a:xfrm>
                      <a:off x="0" y="0"/>
                      <a:ext cx="5262880" cy="7627620"/>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E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仿宋_GB2312">
    <w:altName w:val="方正仿宋_GBK"/>
    <w:panose1 w:val="02010609030101010101"/>
    <w:charset w:val="00"/>
    <w:family w:val="modern"/>
    <w:pitch w:val="default"/>
    <w:sig w:usb0="00000000" w:usb1="00000000" w:usb2="00000010" w:usb3="00000000" w:csb0="00040000" w:csb1="00000000"/>
  </w:font>
  <w:font w:name="黑体">
    <w:altName w:val="汉仪中黑KW"/>
    <w:panose1 w:val="02010609060101010101"/>
    <w:charset w:val="00"/>
    <w:family w:val="modern"/>
    <w:pitch w:val="default"/>
    <w:sig w:usb0="00000000" w:usb1="00000000" w:usb2="00000016" w:usb3="00000000" w:csb0="00040001" w:csb1="00000000"/>
  </w:font>
  <w:font w:name="仿宋">
    <w:altName w:val="方正仿宋_GBK"/>
    <w:panose1 w:val="02010609060101010101"/>
    <w:charset w:val="00"/>
    <w:family w:val="modern"/>
    <w:pitch w:val="default"/>
    <w:sig w:usb0="00000000" w:usb1="00000000" w:usb2="00000016" w:usb3="00000000" w:csb0="00040001" w:csb1="00000000"/>
  </w:font>
  <w:font w:name="Batang">
    <w:altName w:val="Apple SD Gothic Neo"/>
    <w:panose1 w:val="02030600000101010101"/>
    <w:charset w:val="00"/>
    <w:family w:val="auto"/>
    <w:pitch w:val="default"/>
    <w:sig w:usb0="00000000" w:usb1="00000000" w:usb2="00000010" w:usb3="00000000" w:csb0="00080000" w:csb1="00000000"/>
  </w:font>
  <w:font w:name="Arial">
    <w:panose1 w:val="020B0604020202090204"/>
    <w:charset w:val="00"/>
    <w:family w:val="swiss"/>
    <w:pitch w:val="default"/>
    <w:sig w:usb0="E0000AFF" w:usb1="00007843" w:usb2="00000001" w:usb3="00000000" w:csb0="400001BF" w:csb1="DFF70000"/>
  </w:font>
  <w:font w:name="ヒラギノ角ゴ Pro W3">
    <w:panose1 w:val="020B0300000000000000"/>
    <w:charset w:val="80"/>
    <w:family w:val="auto"/>
    <w:pitch w:val="default"/>
    <w:sig w:usb0="E00002FF" w:usb1="7AE7FFFF" w:usb2="00000012" w:usb3="00000000" w:csb0="0002000D" w:csb1="00000000"/>
  </w:font>
  <w:font w:name="Courier New">
    <w:panose1 w:val="02070609020205090404"/>
    <w:charset w:val="00"/>
    <w:family w:val="modern"/>
    <w:pitch w:val="default"/>
    <w:sig w:usb0="E0000AFF" w:usb1="40007843" w:usb2="00000001" w:usb3="00000000" w:csb0="400001BF" w:csb1="DFF70000"/>
  </w:font>
  <w:font w:name="新宋体">
    <w:altName w:val="方正书宋_GBK"/>
    <w:panose1 w:val="02010609030101010101"/>
    <w:charset w:val="00"/>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Apple SD Gothic Neo">
    <w:panose1 w:val="02000300000000000000"/>
    <w:charset w:val="81"/>
    <w:family w:val="auto"/>
    <w:pitch w:val="default"/>
    <w:sig w:usb0="00000203" w:usb1="21D12C10" w:usb2="00000010" w:usb3="00000000" w:csb0="00280005" w:csb1="00000000"/>
  </w:font>
  <w:font w:name="黑体-简">
    <w:panose1 w:val="02000000000000000000"/>
    <w:charset w:val="86"/>
    <w:family w:val="auto"/>
    <w:pitch w:val="default"/>
    <w:sig w:usb0="8000002F" w:usb1="0800004A" w:usb2="00000000" w:usb3="00000000" w:csb0="203E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仿宋_GB2312">
    <w:altName w:val="方正仿宋_GBK"/>
    <w:panose1 w:val="00000000000000000000"/>
    <w:charset w:val="86"/>
    <w:family w:val="modern"/>
    <w:pitch w:val="default"/>
    <w:sig w:usb0="00000000" w:usb1="00000000" w:usb2="0000001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PMingLiU">
    <w:altName w:val="宋体-繁"/>
    <w:panose1 w:val="02020500000000000000"/>
    <w:charset w:val="88"/>
    <w:family w:val="auto"/>
    <w:pitch w:val="default"/>
    <w:sig w:usb0="00000000" w:usb1="00000000" w:usb2="00000016" w:usb3="00000000" w:csb0="00100001" w:csb1="00000000"/>
  </w:font>
  <w:font w:name="仿宋">
    <w:altName w:val="方正仿宋_GBK"/>
    <w:panose1 w:val="02010609060101010101"/>
    <w:charset w:val="86"/>
    <w:family w:val="auto"/>
    <w:pitch w:val="default"/>
    <w:sig w:usb0="00000000" w:usb1="00000000" w:usb2="00000016" w:usb3="00000000" w:csb0="00040001" w:csb1="00000000"/>
  </w:font>
  <w:font w:name="Apple Chancery">
    <w:panose1 w:val="03020702040506060504"/>
    <w:charset w:val="00"/>
    <w:family w:val="auto"/>
    <w:pitch w:val="default"/>
    <w:sig w:usb0="80000067" w:usb1="00000003" w:usb2="00000000" w:usb3="00000000" w:csb0="200001F3" w:csb1="CDFC0000"/>
  </w:font>
  <w:font w:name="宋体-繁">
    <w:panose1 w:val="02010600040101010101"/>
    <w:charset w:val="86"/>
    <w:family w:val="auto"/>
    <w:pitch w:val="default"/>
    <w:sig w:usb0="00000287" w:usb1="080F0000" w:usb2="00000000" w:usb3="00000000" w:csb0="0004009F" w:csb1="DFD7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华文宋体">
    <w:panose1 w:val="02010600040101010101"/>
    <w:charset w:val="86"/>
    <w:family w:val="auto"/>
    <w:pitch w:val="default"/>
    <w:sig w:usb0="80000287" w:usb1="280F3C52" w:usb2="00000016" w:usb3="00000000" w:csb0="0004001F" w:csb1="00000000"/>
  </w:font>
  <w:font w:name="PingFang SC Regular">
    <w:panose1 w:val="020B0400000000000000"/>
    <w:charset w:val="86"/>
    <w:family w:val="auto"/>
    <w:pitch w:val="default"/>
    <w:sig w:usb0="A00002FF" w:usb1="7ACFFDFB" w:usb2="00000017" w:usb3="00000000" w:csb0="00040001" w:csb1="00000000"/>
  </w:font>
  <w:font w:name="Calibri Light">
    <w:altName w:val="Helvetica Neue"/>
    <w:panose1 w:val="00000000000000000000"/>
    <w:charset w:val="00"/>
    <w:family w:val="auto"/>
    <w:pitch w:val="default"/>
    <w:sig w:usb0="00000000" w:usb1="00000000" w:usb2="00000000" w:usb3="00000000" w:csb0="00000000" w:csb1="00000000"/>
  </w:font>
  <w:font w:name="黑">
    <w:altName w:val="苹方-简"/>
    <w:panose1 w:val="00000000000000000000"/>
    <w:charset w:val="00"/>
    <w:family w:val="auto"/>
    <w:pitch w:val="default"/>
    <w:sig w:usb0="00000000" w:usb1="00000000" w:usb2="00000000" w:usb3="00000000" w:csb0="00000000" w:csb1="00000000"/>
  </w:font>
  <w:font w:name="Songti TC">
    <w:panose1 w:val="02010600040101010101"/>
    <w:charset w:val="86"/>
    <w:family w:val="auto"/>
    <w:pitch w:val="default"/>
    <w:sig w:usb0="00000287" w:usb1="080F0000" w:usb2="00000000" w:usb3="00000000" w:csb0="0004009F" w:csb1="DFD70000"/>
  </w:font>
  <w:font w:name="宋体-">
    <w:altName w:val="苹方-简"/>
    <w:panose1 w:val="00000000000000000000"/>
    <w:charset w:val="00"/>
    <w:family w:val="auto"/>
    <w:pitch w:val="default"/>
    <w:sig w:usb0="00000000" w:usb1="00000000" w:usb2="00000000" w:usb3="00000000" w:csb0="00000000" w:csb1="00000000"/>
  </w:font>
  <w:font w:name="University Roman LET">
    <w:altName w:val="苹方-简"/>
    <w:panose1 w:val="00000000000000000000"/>
    <w:charset w:val="00"/>
    <w:family w:val="auto"/>
    <w:pitch w:val="default"/>
    <w:sig w:usb0="00000000" w:usb1="00000000" w:usb2="00000000" w:usb3="00000000" w:csb0="00000009" w:csb1="00000000"/>
  </w:font>
  <w:font w:name="等线">
    <w:altName w:val="汉仪中等线KW"/>
    <w:panose1 w:val="02010600030101010101"/>
    <w:charset w:val="00"/>
    <w:family w:val="auto"/>
    <w:pitch w:val="default"/>
    <w:sig w:usb0="00000000" w:usb1="00000000" w:usb2="00000016" w:usb3="00000000" w:csb0="0004000F" w:csb1="00000000"/>
  </w:font>
  <w:font w:name="楷体_GB2312">
    <w:altName w:val="汉仪楷体简"/>
    <w:panose1 w:val="02010609030101010101"/>
    <w:charset w:val="00"/>
    <w:family w:val="modern"/>
    <w:pitch w:val="default"/>
    <w:sig w:usb0="00000000" w:usb1="00000000" w:usb2="00000010" w:usb3="00000000" w:csb0="00040000" w:csb1="00000000"/>
  </w:font>
  <w:font w:name="微软雅黑">
    <w:altName w:val="汉仪旗黑"/>
    <w:panose1 w:val="020B0503020204020204"/>
    <w:charset w:val="00"/>
    <w:family w:val="swiss"/>
    <w:pitch w:val="default"/>
    <w:sig w:usb0="00000000" w:usb1="00000000" w:usb2="00000016" w:usb3="00000000" w:csb0="0004001F" w:csb1="00000000"/>
  </w:font>
  <w:font w:name="Segoe UI Symbol">
    <w:altName w:val="苹方-简"/>
    <w:panose1 w:val="020B0502040204020203"/>
    <w:charset w:val="00"/>
    <w:family w:val="swiss"/>
    <w:pitch w:val="default"/>
    <w:sig w:usb0="00000000" w:usb1="00000000" w:usb2="00040000" w:usb3="00000000" w:csb0="00000001" w:csb1="00000000"/>
  </w:font>
  <w:font w:name="Wingdings">
    <w:panose1 w:val="05000000000000000000"/>
    <w:charset w:val="00"/>
    <w:family w:val="auto"/>
    <w:pitch w:val="default"/>
    <w:sig w:usb0="00000000" w:usb1="00000000" w:usb2="00000000" w:usb3="00000000" w:csb0="80000000" w:csb1="00000000"/>
  </w:font>
  <w:font w:name="汉仪楷体简">
    <w:panose1 w:val="02010600000101010101"/>
    <w:charset w:val="86"/>
    <w:family w:val="auto"/>
    <w:pitch w:val="default"/>
    <w:sig w:usb0="00000001" w:usb1="080E0800" w:usb2="00000002" w:usb3="00000000" w:csb0="00040000" w:csb1="00000000"/>
  </w:font>
  <w:font w:name="冬青黑体简体中文">
    <w:panose1 w:val="020B0300000000000000"/>
    <w:charset w:val="86"/>
    <w:family w:val="auto"/>
    <w:pitch w:val="default"/>
    <w:sig w:usb0="A00002BF" w:usb1="1ACF7CFA" w:usb2="00000016" w:usb3="00000000" w:csb0="00060007" w:csb1="00000000"/>
  </w:font>
  <w:font w:name="serif">
    <w:altName w:val="苹方-简"/>
    <w:panose1 w:val="00000000000000000000"/>
    <w:charset w:val="00"/>
    <w:family w:val="auto"/>
    <w:pitch w:val="default"/>
    <w:sig w:usb0="00000000" w:usb1="00000000" w:usb2="00000000" w:usb3="00000000" w:csb0="00000000" w:csb1="00000000"/>
  </w:font>
  <w:font w:name="Segoe Print">
    <w:altName w:val="苹方-简"/>
    <w:panose1 w:val="02000600000000000000"/>
    <w:charset w:val="00"/>
    <w:family w:val="auto"/>
    <w:pitch w:val="default"/>
    <w:sig w:usb0="00000000" w:usb1="00000000" w:usb2="00000000" w:usb3="00000000" w:csb0="2000009F" w:csb1="47010000"/>
  </w:font>
  <w:font w:name="Wingdings 2">
    <w:panose1 w:val="05020102010507070707"/>
    <w:charset w:val="00"/>
    <w:family w:val="auto"/>
    <w:pitch w:val="default"/>
    <w:sig w:usb0="00000000" w:usb1="00000000" w:usb2="00000000" w:usb3="00000000" w:csb0="80000000" w:csb1="00000000"/>
  </w:font>
  <w:font w:name="+中文正">
    <w:altName w:val="苹方-简"/>
    <w:panose1 w:val="00000000000000000000"/>
    <w:charset w:val="00"/>
    <w:family w:val="auto"/>
    <w:pitch w:val="default"/>
    <w:sig w:usb0="00000000" w:usb1="00000000" w:usb2="00000000" w:usb3="00000000" w:csb0="00000000" w:csb1="00000000"/>
  </w:font>
  <w:font w:name="+中文">
    <w:altName w:val="苹方-简"/>
    <w:panose1 w:val="00000000000000000000"/>
    <w:charset w:val="00"/>
    <w:family w:val="auto"/>
    <w:pitch w:val="default"/>
    <w:sig w:usb0="00000000" w:usb1="00000000" w:usb2="00000000" w:usb3="00000000" w:csb0="00000000" w:csb1="00000000"/>
  </w:font>
  <w:font w:name="+中">
    <w:altName w:val="苹方-简"/>
    <w:panose1 w:val="00000000000000000000"/>
    <w:charset w:val="00"/>
    <w:family w:val="auto"/>
    <w:pitch w:val="default"/>
    <w:sig w:usb0="00000000" w:usb1="00000000" w:usb2="00000000" w:usb3="00000000" w:csb0="00000000" w:csb1="00000000"/>
  </w:font>
  <w:font w:name="+">
    <w:altName w:val="苹方-简"/>
    <w:panose1 w:val="00000000000000000000"/>
    <w:charset w:val="00"/>
    <w:family w:val="auto"/>
    <w:pitch w:val="default"/>
    <w:sig w:usb0="00000000" w:usb1="00000000" w:usb2="00000000" w:usb3="00000000" w:csb0="00000000" w:csb1="00000000"/>
  </w:font>
  <w:font w:name="Heiti TC Light">
    <w:panose1 w:val="02000000000000000000"/>
    <w:charset w:val="86"/>
    <w:family w:val="auto"/>
    <w:pitch w:val="default"/>
    <w:sig w:usb0="8000002F" w:usb1="0800004A" w:usb2="00000000" w:usb3="00000000" w:csb0="203E0000" w:csb1="00000000"/>
  </w:font>
  <w:font w:name="PingFang SC">
    <w:panose1 w:val="020B0400000000000000"/>
    <w:charset w:val="86"/>
    <w:family w:val="auto"/>
    <w:pitch w:val="default"/>
    <w:sig w:usb0="A00002FF" w:usb1="7ACFFDFB" w:usb2="00000017" w:usb3="00000000" w:csb0="00040001" w:csb1="00000000"/>
  </w:font>
  <w:font w:name="Traditional Arabic">
    <w:altName w:val="苹方-简"/>
    <w:panose1 w:val="02020603050405020304"/>
    <w:charset w:val="00"/>
    <w:family w:val="auto"/>
    <w:pitch w:val="default"/>
    <w:sig w:usb0="00000000" w:usb1="00000000" w:usb2="00000008" w:usb3="00000000" w:csb0="00000041" w:csb1="20080000"/>
  </w:font>
  <w:font w:name="等线 Light">
    <w:altName w:val="汉仪中等线KW"/>
    <w:panose1 w:val="02010600030101010101"/>
    <w:charset w:val="00"/>
    <w:family w:val="auto"/>
    <w:pitch w:val="default"/>
    <w:sig w:usb0="00000000" w:usb1="00000000" w:usb2="00000016" w:usb3="00000000" w:csb0="0004000F" w:csb1="00000000"/>
  </w:font>
  <w:font w:name="华文楷体">
    <w:panose1 w:val="02010600040101010101"/>
    <w:charset w:val="86"/>
    <w:family w:val="auto"/>
    <w:pitch w:val="default"/>
    <w:sig w:usb0="80000287" w:usb1="280F3C52"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Wingdings 2">
    <w:panose1 w:val="05020102010507070707"/>
    <w:charset w:val="02"/>
    <w:family w:val="roman"/>
    <w:pitch w:val="default"/>
    <w:sig w:usb0="00000000" w:usb1="00000000" w:usb2="00000000" w:usb3="00000000" w:csb0="80000000" w:csb1="00000000"/>
  </w:font>
  <w:font w:name="MicrosoftYaHei">
    <w:altName w:val="苹方-简"/>
    <w:panose1 w:val="00000000000000000000"/>
    <w:charset w:val="00"/>
    <w:family w:val="auto"/>
    <w:pitch w:val="default"/>
    <w:sig w:usb0="00000000" w:usb1="00000000" w:usb2="00000000" w:usb3="00000000" w:csb0="00000000" w:csb1="00000000"/>
  </w:font>
  <w:font w:name="ˎ̥">
    <w:altName w:val="苹方-简"/>
    <w:panose1 w:val="00000000000000000000"/>
    <w:charset w:val="00"/>
    <w:family w:val="roman"/>
    <w:pitch w:val="default"/>
    <w:sig w:usb0="00000000" w:usb1="00000000" w:usb2="00000000" w:usb3="00000000" w:csb0="00040001" w:csb1="00000000"/>
  </w:font>
  <w:font w:name="楷体_GB2312">
    <w:altName w:val="汉仪楷体简"/>
    <w:panose1 w:val="00000000000000000000"/>
    <w:charset w:val="86"/>
    <w:family w:val="modern"/>
    <w:pitch w:val="default"/>
    <w:sig w:usb0="00000000" w:usb1="00000000" w:usb2="0000001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MDe54oUAgAAEwQAAA4AAAAAAAAAAQAgAAAANQEAAGRycy9lMm9Eb2MueG1sUEsFBgAAAAAGAAYA&#10;WQEAALs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329"/>
    <w:multiLevelType w:val="multilevel"/>
    <w:tmpl w:val="012A532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89D5112"/>
    <w:multiLevelType w:val="multilevel"/>
    <w:tmpl w:val="289D511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536FE69"/>
    <w:multiLevelType w:val="singleLevel"/>
    <w:tmpl w:val="5536FE69"/>
    <w:lvl w:ilvl="0" w:tentative="0">
      <w:start w:val="7"/>
      <w:numFmt w:val="chineseCounting"/>
      <w:suff w:val="nothing"/>
      <w:lvlText w:val="%1、"/>
      <w:lvlJc w:val="left"/>
    </w:lvl>
  </w:abstractNum>
  <w:abstractNum w:abstractNumId="3">
    <w:nsid w:val="61835130"/>
    <w:multiLevelType w:val="singleLevel"/>
    <w:tmpl w:val="61835130"/>
    <w:lvl w:ilvl="0" w:tentative="0">
      <w:start w:val="6"/>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F108C0"/>
    <w:rsid w:val="08302B22"/>
    <w:rsid w:val="18A113E8"/>
    <w:rsid w:val="30F765D2"/>
    <w:rsid w:val="34AD48BE"/>
    <w:rsid w:val="45A92369"/>
    <w:rsid w:val="4AF108C0"/>
    <w:rsid w:val="53475AB6"/>
    <w:rsid w:val="53DF34C0"/>
    <w:rsid w:val="569A7D3F"/>
    <w:rsid w:val="56DA526A"/>
    <w:rsid w:val="5AB957A6"/>
    <w:rsid w:val="5C9C1BFB"/>
    <w:rsid w:val="5EF9302F"/>
    <w:rsid w:val="5F4B931F"/>
    <w:rsid w:val="6B6829EB"/>
    <w:rsid w:val="6F7FF7B3"/>
    <w:rsid w:val="71FDB625"/>
    <w:rsid w:val="77221816"/>
    <w:rsid w:val="779F69C6"/>
    <w:rsid w:val="77FEEB79"/>
    <w:rsid w:val="79D33EE0"/>
    <w:rsid w:val="7C9C0245"/>
    <w:rsid w:val="99EF418D"/>
    <w:rsid w:val="DCEE779C"/>
    <w:rsid w:val="DFBDDBF8"/>
    <w:rsid w:val="DFDCDDB2"/>
    <w:rsid w:val="EFBF250A"/>
    <w:rsid w:val="EFE7347B"/>
    <w:rsid w:val="EFEE277A"/>
    <w:rsid w:val="EFFB03AD"/>
    <w:rsid w:val="FEB4E4D3"/>
    <w:rsid w:val="FFF79E97"/>
    <w:rsid w:val="FFFF41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1"/>
      <w:sz w:val="21"/>
      <w:szCs w:val="24"/>
      <w:lang w:val="en-US" w:eastAsia="zh-CN" w:bidi="ar-SA"/>
    </w:rPr>
  </w:style>
  <w:style w:type="paragraph" w:styleId="4">
    <w:name w:val="heading 1"/>
    <w:basedOn w:val="1"/>
    <w:next w:val="1"/>
    <w:link w:val="18"/>
    <w:qFormat/>
    <w:uiPriority w:val="0"/>
    <w:pPr>
      <w:keepNext/>
      <w:keepLines/>
      <w:spacing w:beforeLines="0" w:beforeAutospacing="0" w:afterLines="0" w:afterAutospacing="0" w:line="480" w:lineRule="auto"/>
      <w:jc w:val="center"/>
      <w:outlineLvl w:val="0"/>
    </w:pPr>
    <w:rPr>
      <w:rFonts w:ascii="Times New Roman" w:hAnsi="Times New Roman" w:eastAsia="宋体" w:cs="Times New Roman"/>
      <w:b/>
      <w:kern w:val="44"/>
      <w:sz w:val="30"/>
    </w:rPr>
  </w:style>
  <w:style w:type="paragraph" w:styleId="5">
    <w:name w:val="heading 2"/>
    <w:basedOn w:val="1"/>
    <w:next w:val="1"/>
    <w:unhideWhenUsed/>
    <w:qFormat/>
    <w:uiPriority w:val="0"/>
    <w:pPr>
      <w:spacing w:line="360" w:lineRule="auto"/>
      <w:jc w:val="center"/>
      <w:outlineLvl w:val="1"/>
    </w:pPr>
    <w:rPr>
      <w:rFonts w:ascii="Arial" w:hAnsi="Arial" w:eastAsia="宋体" w:cs="Times New Roman"/>
      <w:b/>
      <w:bCs/>
      <w:kern w:val="1"/>
      <w:sz w:val="32"/>
      <w:szCs w:val="28"/>
    </w:rPr>
  </w:style>
  <w:style w:type="paragraph" w:styleId="6">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1">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spacing w:after="0" w:line="240" w:lineRule="auto"/>
      <w:jc w:val="both"/>
    </w:pPr>
    <w:rPr>
      <w:rFonts w:ascii="Times New Roman" w:hAnsi="Times New Roman" w:eastAsia="宋体" w:cs="宋体"/>
      <w:kern w:val="1"/>
      <w:sz w:val="24"/>
      <w:szCs w:val="24"/>
      <w:lang w:val="en-US" w:eastAsia="zh-CN" w:bidi="ar-SA"/>
    </w:rPr>
  </w:style>
  <w:style w:type="paragraph" w:styleId="3">
    <w:name w:val="footnote text"/>
    <w:basedOn w:val="1"/>
    <w:qFormat/>
    <w:uiPriority w:val="0"/>
    <w:pPr>
      <w:widowControl w:val="0"/>
      <w:adjustRightInd/>
      <w:snapToGrid/>
      <w:spacing w:after="0"/>
      <w:jc w:val="both"/>
    </w:pPr>
    <w:rPr>
      <w:rFonts w:ascii="Times New Roman" w:hAnsi="Times New Roman" w:eastAsia="宋体" w:cs="Times New Roman"/>
      <w:kern w:val="1"/>
      <w:sz w:val="18"/>
      <w:szCs w:val="18"/>
    </w:rPr>
  </w:style>
  <w:style w:type="paragraph" w:styleId="7">
    <w:name w:val="Body Text"/>
    <w:basedOn w:val="1"/>
    <w:next w:val="1"/>
    <w:qFormat/>
    <w:uiPriority w:val="0"/>
    <w:pPr>
      <w:widowControl w:val="0"/>
      <w:adjustRightInd/>
      <w:snapToGrid/>
      <w:spacing w:after="0"/>
      <w:jc w:val="both"/>
    </w:pPr>
    <w:rPr>
      <w:rFonts w:ascii="Times New Roman" w:hAnsi="Times New Roman" w:eastAsia="宋体" w:cs="Times New Roman"/>
      <w:kern w:val="1"/>
      <w:sz w:val="21"/>
      <w:szCs w:val="21"/>
    </w:rPr>
  </w:style>
  <w:style w:type="paragraph" w:styleId="8">
    <w:name w:val="Plain Text"/>
    <w:basedOn w:val="1"/>
    <w:qFormat/>
    <w:uiPriority w:val="0"/>
    <w:rPr>
      <w:rFonts w:ascii="宋体" w:hAnsi="Courier New"/>
      <w:kern w:val="0"/>
      <w:sz w:val="20"/>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2">
    <w:name w:val="Emphasis"/>
    <w:basedOn w:val="11"/>
    <w:qFormat/>
    <w:uiPriority w:val="0"/>
    <w:rPr>
      <w:i/>
    </w:rPr>
  </w:style>
  <w:style w:type="character" w:styleId="13">
    <w:name w:val="Hyperlink"/>
    <w:basedOn w:val="11"/>
    <w:qFormat/>
    <w:uiPriority w:val="0"/>
    <w:rPr>
      <w:color w:val="0000FF"/>
      <w:u w:val="single"/>
    </w:rPr>
  </w:style>
  <w:style w:type="table" w:styleId="15">
    <w:name w:val="Table Grid"/>
    <w:basedOn w:val="14"/>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
    <w:name w:val="style4"/>
    <w:basedOn w:val="1"/>
    <w:next w:val="17"/>
    <w:qFormat/>
    <w:uiPriority w:val="0"/>
    <w:pPr>
      <w:adjustRightInd/>
      <w:snapToGrid/>
      <w:spacing w:after="0"/>
      <w:jc w:val="both"/>
    </w:pPr>
    <w:rPr>
      <w:rFonts w:ascii="Times New Roman" w:hAnsi="Times New Roman" w:eastAsia="宋体" w:cs="Times New Roman"/>
      <w:kern w:val="1"/>
      <w:sz w:val="18"/>
      <w:szCs w:val="24"/>
    </w:rPr>
  </w:style>
  <w:style w:type="paragraph" w:customStyle="1" w:styleId="17">
    <w:name w:val="2"/>
    <w:next w:val="1"/>
    <w:qFormat/>
    <w:uiPriority w:val="0"/>
    <w:pPr>
      <w:widowControl w:val="0"/>
      <w:spacing w:after="0" w:line="240" w:lineRule="auto"/>
      <w:jc w:val="both"/>
    </w:pPr>
    <w:rPr>
      <w:rFonts w:ascii="Times New Roman" w:hAnsi="Times New Roman" w:eastAsia="宋体" w:cs="Times New Roman"/>
      <w:sz w:val="21"/>
      <w:szCs w:val="22"/>
      <w:lang w:val="en-US" w:eastAsia="zh-CN" w:bidi="ar-SA"/>
    </w:rPr>
  </w:style>
  <w:style w:type="character" w:customStyle="1" w:styleId="18">
    <w:name w:val="标题 1 Char"/>
    <w:link w:val="4"/>
    <w:qFormat/>
    <w:uiPriority w:val="0"/>
    <w:rPr>
      <w:rFonts w:ascii="Times New Roman" w:hAnsi="Times New Roman" w:eastAsia="宋体" w:cs="Times New Roman"/>
      <w:b/>
      <w:kern w:val="44"/>
      <w:sz w:val="30"/>
    </w:rPr>
  </w:style>
  <w:style w:type="character" w:customStyle="1" w:styleId="19">
    <w:name w:val="font11"/>
    <w:basedOn w:val="11"/>
    <w:qFormat/>
    <w:uiPriority w:val="0"/>
    <w:rPr>
      <w:rFonts w:hint="eastAsia" w:ascii="宋体" w:hAnsi="宋体" w:eastAsia="宋体" w:cs="宋体"/>
      <w:color w:val="000000"/>
      <w:sz w:val="22"/>
      <w:szCs w:val="22"/>
      <w:u w:val="none"/>
    </w:rPr>
  </w:style>
  <w:style w:type="character" w:customStyle="1" w:styleId="20">
    <w:name w:val="font01"/>
    <w:basedOn w:val="11"/>
    <w:qFormat/>
    <w:uiPriority w:val="0"/>
    <w:rPr>
      <w:rFonts w:hint="eastAsia" w:ascii="宋体" w:hAnsi="宋体" w:eastAsia="宋体" w:cs="宋体"/>
      <w:color w:val="000000"/>
      <w:sz w:val="24"/>
      <w:szCs w:val="24"/>
      <w:u w:val="none"/>
    </w:rPr>
  </w:style>
  <w:style w:type="paragraph" w:customStyle="1" w:styleId="21">
    <w:name w:val="CM8"/>
    <w:basedOn w:val="1"/>
    <w:next w:val="1"/>
    <w:qFormat/>
    <w:uiPriority w:val="0"/>
    <w:pPr>
      <w:widowControl w:val="0"/>
      <w:autoSpaceDE w:val="0"/>
      <w:autoSpaceDN w:val="0"/>
      <w:snapToGrid/>
      <w:spacing w:after="0" w:line="313" w:lineRule="atLeast"/>
    </w:pPr>
    <w:rPr>
      <w:rFonts w:ascii="宋体" w:hAnsi="Calibri" w:eastAsia="宋体" w:cs="Times New Roman"/>
      <w:sz w:val="24"/>
      <w:szCs w:val="24"/>
    </w:rPr>
  </w:style>
  <w:style w:type="paragraph" w:customStyle="1" w:styleId="22">
    <w:name w:val="List Paragraph"/>
    <w:basedOn w:val="1"/>
    <w:qFormat/>
    <w:uiPriority w:val="1"/>
    <w:pPr>
      <w:widowControl w:val="0"/>
      <w:adjustRightInd/>
      <w:snapToGrid/>
      <w:spacing w:after="0"/>
      <w:ind w:left="676"/>
      <w:jc w:val="both"/>
    </w:pPr>
    <w:rPr>
      <w:rFonts w:ascii="宋体" w:hAnsi="宋体" w:eastAsia="宋体" w:cs="宋体"/>
      <w:kern w:val="1"/>
      <w:sz w:val="21"/>
      <w:szCs w:val="24"/>
      <w:lang w:val="zh-CN" w:bidi="zh-CN"/>
    </w:rPr>
  </w:style>
  <w:style w:type="table" w:customStyle="1" w:styleId="23">
    <w:name w:val="Table Normal"/>
    <w:unhideWhenUsed/>
    <w:qFormat/>
    <w:uiPriority w:val="0"/>
    <w:tblPr>
      <w:tblCellMar>
        <w:top w:w="0" w:type="dxa"/>
        <w:left w:w="0" w:type="dxa"/>
        <w:bottom w:w="0" w:type="dxa"/>
        <w:right w:w="0" w:type="dxa"/>
      </w:tblCellMar>
    </w:tbl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customXml" Target="../customXml/item1.xml"/>
  <Relationship Id="rId15" Type="http://schemas.openxmlformats.org/officeDocument/2006/relationships/numbering" Target="numbering.xml"/>
  <Relationship Id="rId16"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footer" Target="footer1.xml"/>
  <Relationship Id="rId4" Type="http://schemas.openxmlformats.org/officeDocument/2006/relationships/theme" Target="theme/theme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Office_3.9.3.6359_F1E327BC-269C-435d-A152-05C5408002CA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2021-01-12T21:28:00Z</dcterms:created>
  <dc:creator>Administrator</dc:creator>
  <lastModifiedBy>beijixing</lastModifiedBy>
  <dcterms:modified xsi:type="dcterms:W3CDTF">2021-12-18T09:17:24Z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