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ind w:firstLine="5410" w:firstLineChars="2566"/>
        <w:textAlignment w:val="baseline"/>
        <w:rPr>
          <w:rFonts w:ascii="宋体" w:hAnsi="宋体" w:cs="宋体"/>
          <w:b/>
          <w:bCs/>
          <w:sz w:val="20"/>
          <w:szCs w:val="21"/>
        </w:rPr>
      </w:pPr>
      <w:r>
        <w:rPr>
          <w:rFonts w:hint="eastAsia" w:ascii="宋体" w:hAnsi="宋体" w:cs="宋体"/>
          <w:b/>
          <w:szCs w:val="21"/>
        </w:rPr>
        <w:t>合同编号</w:t>
      </w:r>
      <w:r>
        <w:rPr>
          <w:rFonts w:hint="eastAsia" w:ascii="宋体" w:hAnsi="宋体" w:cs="宋体"/>
          <w:b/>
          <w:szCs w:val="21"/>
          <w:u w:val="single" w:color="000000"/>
        </w:rPr>
        <w:t>：</w:t>
      </w:r>
      <w:r>
        <w:rPr>
          <w:rFonts w:hint="eastAsia" w:ascii="宋体" w:hAnsi="宋体" w:cs="宋体"/>
          <w:szCs w:val="21"/>
          <w:u w:val="single" w:color="000000"/>
        </w:rPr>
        <w:t>郑大-竞磋-2021-0078</w:t>
      </w:r>
    </w:p>
    <w:p>
      <w:pPr>
        <w:snapToGrid w:val="0"/>
        <w:spacing w:line="360" w:lineRule="auto"/>
        <w:jc w:val="center"/>
        <w:textAlignment w:val="baseline"/>
        <w:rPr>
          <w:rFonts w:ascii="宋体" w:hAnsi="宋体" w:cs="宋体"/>
          <w:b/>
          <w:sz w:val="32"/>
          <w:szCs w:val="32"/>
        </w:rPr>
      </w:pPr>
      <w:r>
        <w:rPr>
          <w:rFonts w:hint="eastAsia" w:ascii="宋体" w:hAnsi="宋体" w:cs="宋体"/>
          <w:b/>
          <w:sz w:val="32"/>
          <w:szCs w:val="32"/>
        </w:rPr>
        <w:t>郑州大学图书馆数据中心后备电源改造及基础设备维保服务</w:t>
      </w:r>
    </w:p>
    <w:p>
      <w:pPr>
        <w:snapToGrid w:val="0"/>
        <w:spacing w:line="360" w:lineRule="auto"/>
        <w:jc w:val="center"/>
        <w:textAlignment w:val="baseline"/>
        <w:rPr>
          <w:rFonts w:ascii="宋体" w:hAnsi="宋体" w:cs="宋体"/>
          <w:b/>
          <w:sz w:val="32"/>
          <w:szCs w:val="32"/>
        </w:rPr>
      </w:pPr>
      <w:r>
        <w:rPr>
          <w:rFonts w:hint="eastAsia" w:ascii="宋体" w:hAnsi="宋体" w:cs="宋体"/>
          <w:b/>
          <w:sz w:val="32"/>
          <w:szCs w:val="32"/>
        </w:rPr>
        <w:t>项目采购合同</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甲方：郑州大学</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乙方：河南一禾电子科技有限公司</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本合同于</w:t>
      </w:r>
      <w:r>
        <w:rPr>
          <w:rFonts w:hint="eastAsia" w:ascii="宋体" w:hAnsi="宋体" w:cs="宋体"/>
          <w:sz w:val="24"/>
          <w:u w:val="single"/>
        </w:rPr>
        <w:t xml:space="preserve">    2021  </w:t>
      </w:r>
      <w:r>
        <w:rPr>
          <w:rFonts w:hint="eastAsia" w:ascii="宋体" w:hAnsi="宋体" w:cs="宋体"/>
          <w:sz w:val="24"/>
        </w:rPr>
        <w:t>年</w:t>
      </w:r>
      <w:r>
        <w:rPr>
          <w:rFonts w:hint="eastAsia" w:ascii="宋体" w:hAnsi="宋体" w:cs="宋体"/>
          <w:sz w:val="24"/>
          <w:u w:val="single"/>
        </w:rPr>
        <w:t xml:space="preserve">  12  </w:t>
      </w:r>
      <w:r>
        <w:rPr>
          <w:rFonts w:hint="eastAsia" w:ascii="宋体" w:hAnsi="宋体" w:cs="宋体"/>
          <w:sz w:val="24"/>
        </w:rPr>
        <w:t>月</w:t>
      </w:r>
      <w:r>
        <w:rPr>
          <w:rFonts w:hint="eastAsia" w:ascii="宋体" w:hAnsi="宋体" w:cs="宋体"/>
          <w:sz w:val="24"/>
          <w:u w:val="single"/>
        </w:rPr>
        <w:t xml:space="preserve">  3  </w:t>
      </w:r>
      <w:r>
        <w:rPr>
          <w:rFonts w:hint="eastAsia" w:ascii="宋体" w:hAnsi="宋体" w:cs="宋体"/>
          <w:sz w:val="24"/>
        </w:rPr>
        <w:t>日由甲乙双方按下述条款签署。</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在甲方为获得</w:t>
      </w:r>
      <w:r>
        <w:rPr>
          <w:rFonts w:hint="eastAsia" w:ascii="宋体" w:hAnsi="宋体" w:cs="宋体"/>
          <w:sz w:val="24"/>
          <w:u w:val="single" w:color="000000"/>
        </w:rPr>
        <w:t>数据中心后备电源改造及基础设备维保服务</w:t>
      </w:r>
      <w:r>
        <w:rPr>
          <w:rFonts w:hint="eastAsia" w:ascii="宋体" w:hAnsi="宋体" w:cs="宋体"/>
          <w:sz w:val="24"/>
        </w:rPr>
        <w:t>实施公开招标情况下，乙方参加了公开招标。通过公开招标，甲方接受了乙方以总金额</w:t>
      </w:r>
      <w:r>
        <w:rPr>
          <w:rFonts w:hint="eastAsia" w:ascii="宋体" w:hAnsi="宋体" w:cs="宋体"/>
          <w:sz w:val="24"/>
          <w:u w:val="single" w:color="000000"/>
        </w:rPr>
        <w:t>人民币：470100.00元、大写：肆拾柒万零壹佰元整</w:t>
      </w:r>
      <w:r>
        <w:rPr>
          <w:rFonts w:hint="eastAsia" w:ascii="宋体" w:hAnsi="宋体" w:cs="宋体"/>
          <w:sz w:val="24"/>
        </w:rPr>
        <w:t>（以下简称“合同价”）的投标。双方以上述事实为基础，签订本合同。</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一、供货范围及分项价格表（详见附件1、附件2）</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1.本合同所指设备详见附件1、附件2 ，此附件是合同中不可分割的部分。</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2.总价中包括设备金额、包装、运输保险费、装卸费、安装及相关材料费、调试费、软件费、检验费及培训所需费用及税金等，甲方不再另行支付任何费用。</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二、质量及技术规格要求</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乙方须按合同要求提供全新设备（包括零部件、附件、备品备件等），设备的质量标准、规格型号、具体配置、数量等符合招标标书要求，其产品为原厂生产，且应达到乙方投标文件及澄清文件中明确的技术标准。</w:t>
      </w:r>
    </w:p>
    <w:p>
      <w:pPr>
        <w:snapToGrid w:val="0"/>
        <w:spacing w:line="360" w:lineRule="auto"/>
        <w:ind w:firstLine="600" w:firstLineChars="250"/>
        <w:textAlignment w:val="baseline"/>
        <w:rPr>
          <w:rFonts w:ascii="宋体" w:hAnsi="宋体" w:cs="宋体"/>
          <w:sz w:val="24"/>
        </w:rPr>
      </w:pPr>
      <w:r>
        <w:rPr>
          <w:rFonts w:hint="eastAsia" w:ascii="宋体" w:hAnsi="宋体" w:cs="宋体"/>
          <w:sz w:val="24"/>
        </w:rPr>
        <w:t>乙方应在本合同生效后7个工作日内向甲方提供安装计划及质量控制规范；并于 12 月 13日前进驻安装现场；所有设备运送到甲方指定地点后，双方在</w:t>
      </w:r>
      <w:r>
        <w:rPr>
          <w:rFonts w:ascii="宋体" w:hAnsi="宋体" w:cs="宋体"/>
          <w:sz w:val="24"/>
        </w:rPr>
        <w:t>7</w:t>
      </w:r>
      <w:r>
        <w:rPr>
          <w:rFonts w:hint="eastAsia" w:ascii="宋体" w:hAnsi="宋体" w:cs="宋体"/>
          <w:sz w:val="24"/>
        </w:rPr>
        <w:t>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pPr>
        <w:numPr>
          <w:ilvl w:val="0"/>
          <w:numId w:val="1"/>
        </w:numPr>
        <w:snapToGrid w:val="0"/>
        <w:spacing w:line="360" w:lineRule="auto"/>
        <w:ind w:firstLine="482" w:firstLineChars="200"/>
        <w:textAlignment w:val="baseline"/>
        <w:rPr>
          <w:rFonts w:ascii="宋体" w:hAnsi="宋体" w:cs="宋体"/>
          <w:color w:val="000000"/>
          <w:sz w:val="24"/>
        </w:rPr>
      </w:pPr>
      <w:r>
        <w:rPr>
          <w:rFonts w:hint="eastAsia" w:ascii="宋体" w:hAnsi="宋体" w:cs="宋体"/>
          <w:b/>
          <w:bCs/>
          <w:sz w:val="24"/>
        </w:rPr>
        <w:t>包装与运输</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四、质保期与售后服务（详见附件3）</w:t>
      </w:r>
    </w:p>
    <w:p>
      <w:pPr>
        <w:snapToGrid w:val="0"/>
        <w:spacing w:line="360" w:lineRule="auto"/>
        <w:ind w:firstLine="480" w:firstLineChars="200"/>
        <w:textAlignment w:val="baseline"/>
        <w:rPr>
          <w:rFonts w:ascii="宋体" w:hAnsi="宋体" w:cs="宋体"/>
          <w:sz w:val="24"/>
        </w:rPr>
      </w:pPr>
      <w:r>
        <w:rPr>
          <w:rFonts w:hint="eastAsia" w:ascii="宋体" w:hAnsi="宋体" w:cs="宋体"/>
          <w:color w:val="000000"/>
          <w:sz w:val="24"/>
        </w:rPr>
        <w:t>1.所有设备</w:t>
      </w:r>
      <w:r>
        <w:rPr>
          <w:rFonts w:hint="eastAsia" w:ascii="宋体" w:hAnsi="宋体" w:cs="宋体"/>
          <w:sz w:val="24"/>
        </w:rPr>
        <w:t>免费质保期为3年（自验收合格并交付给甲方之日起计算）。</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color w:val="000000"/>
          <w:sz w:val="24"/>
        </w:rPr>
        <w:t>2.在质保期内，因产品质量造成的问题，供货方免费提供配件并现场维修，且所提供的任何零配件必须是其原设备厂家生产的或经其认可的。产品存在质量问题，甲方有权要求乙方换货。</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color w:val="000000"/>
          <w:sz w:val="24"/>
        </w:rPr>
        <w:t>3.乙方须提供一年4次全免费（配件+人力）对产品设备的维护保养。</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color w:val="000000"/>
          <w:sz w:val="24"/>
        </w:rPr>
        <w:t>4.乙方承诺凡设备出现故障，自接到甲方报修电话30分钟内响应，</w:t>
      </w:r>
      <w:r>
        <w:rPr>
          <w:rFonts w:ascii="宋体" w:hAnsi="宋体" w:cs="宋体"/>
          <w:color w:val="000000"/>
          <w:sz w:val="24"/>
        </w:rPr>
        <w:t>1</w:t>
      </w:r>
      <w:r>
        <w:rPr>
          <w:rFonts w:hint="eastAsia" w:ascii="宋体" w:hAnsi="宋体" w:cs="宋体"/>
          <w:color w:val="000000"/>
          <w:sz w:val="24"/>
        </w:rPr>
        <w:t>小时内到达现场，2小时</w:t>
      </w:r>
      <w:r>
        <w:rPr>
          <w:rFonts w:ascii="宋体" w:hAnsi="宋体" w:cs="宋体"/>
          <w:color w:val="000000"/>
          <w:sz w:val="24"/>
        </w:rPr>
        <w:t>内完成故障检查分析。</w:t>
      </w:r>
      <w:r>
        <w:rPr>
          <w:rFonts w:hint="eastAsia" w:ascii="宋体" w:hAnsi="宋体" w:cs="宋体"/>
          <w:color w:val="000000"/>
          <w:sz w:val="24"/>
        </w:rPr>
        <w:t>24小时内解决故障问题。保修期外只收取甲方零配件成本费，其他免费。</w:t>
      </w:r>
    </w:p>
    <w:p>
      <w:pPr>
        <w:snapToGrid w:val="0"/>
        <w:spacing w:line="360" w:lineRule="auto"/>
        <w:ind w:firstLine="480" w:firstLineChars="200"/>
        <w:jc w:val="left"/>
        <w:textAlignment w:val="baseline"/>
        <w:rPr>
          <w:rFonts w:ascii="宋体" w:hAnsi="宋体" w:cs="宋体"/>
          <w:color w:val="000000"/>
          <w:sz w:val="24"/>
        </w:rPr>
      </w:pPr>
      <w:r>
        <w:rPr>
          <w:rFonts w:hint="eastAsia" w:ascii="宋体" w:hAnsi="宋体" w:cs="宋体"/>
          <w:color w:val="000000"/>
          <w:sz w:val="24"/>
        </w:rPr>
        <w:t xml:space="preserve">5.乙方有责任对甲方相关人员实施免费的现场培训或集中培训措施，保证甲方相关人员能够独立操作、熟练使用、维护和管理有关设备。                                                                                                                    </w:t>
      </w:r>
    </w:p>
    <w:p>
      <w:pPr>
        <w:snapToGrid w:val="0"/>
        <w:spacing w:line="360" w:lineRule="auto"/>
        <w:ind w:firstLine="480" w:firstLineChars="200"/>
        <w:textAlignment w:val="baseline"/>
        <w:rPr>
          <w:rFonts w:ascii="宋体" w:hAnsi="宋体" w:cs="宋体"/>
          <w:color w:val="000000"/>
          <w:sz w:val="24"/>
          <w:u w:val="single" w:color="000000"/>
        </w:rPr>
      </w:pPr>
      <w:r>
        <w:rPr>
          <w:rFonts w:hint="eastAsia" w:ascii="宋体" w:hAnsi="宋体" w:cs="宋体"/>
          <w:color w:val="000000"/>
          <w:sz w:val="24"/>
        </w:rPr>
        <w:t>6.其它：</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五、技术及维保服务</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color w:val="000000"/>
          <w:sz w:val="24"/>
        </w:rPr>
        <w:t>1.乙方向甲方免费提供标准安装调试及人次国内操作培训。（附件3）</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color w:val="000000"/>
          <w:sz w:val="24"/>
        </w:rPr>
        <w:t>2.乙方向甲方提供设备详细技术、维修及使用资料。（附件3）</w:t>
      </w:r>
    </w:p>
    <w:p>
      <w:pPr>
        <w:snapToGrid w:val="0"/>
        <w:spacing w:line="360" w:lineRule="auto"/>
        <w:ind w:firstLine="480" w:firstLineChars="200"/>
        <w:textAlignment w:val="baseline"/>
        <w:rPr>
          <w:rFonts w:cs="宋体"/>
          <w:color w:val="000000"/>
          <w:sz w:val="24"/>
        </w:rPr>
      </w:pPr>
      <w:r>
        <w:rPr>
          <w:rFonts w:hint="eastAsia" w:cs="宋体"/>
          <w:color w:val="000000"/>
          <w:sz w:val="24"/>
        </w:rPr>
        <w:t>3.软件免费升级和使用。（附件3）</w:t>
      </w:r>
    </w:p>
    <w:p>
      <w:pPr>
        <w:snapToGrid w:val="0"/>
        <w:spacing w:line="360" w:lineRule="auto"/>
        <w:ind w:firstLine="480" w:firstLineChars="200"/>
        <w:textAlignment w:val="baseline"/>
        <w:rPr>
          <w:rFonts w:cs="宋体"/>
          <w:color w:val="000000"/>
          <w:sz w:val="24"/>
        </w:rPr>
      </w:pPr>
      <w:r>
        <w:rPr>
          <w:rFonts w:hint="eastAsia"/>
          <w:sz w:val="24"/>
        </w:rPr>
        <w:t>4、自合同生效起，乙方向甲方提供三年机房基础设备维保服务，服务内容及要求详见附件4。</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六、专利权</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color w:val="000000"/>
          <w:sz w:val="24"/>
        </w:rPr>
        <w:t>乙方应保证甲方在使用其所提供的产品时免受第三方提出侵犯其专利权、商标权或保护期的起诉。</w:t>
      </w:r>
    </w:p>
    <w:p>
      <w:pPr>
        <w:numPr>
          <w:ilvl w:val="0"/>
          <w:numId w:val="2"/>
        </w:num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免税</w:t>
      </w:r>
    </w:p>
    <w:p>
      <w:pPr>
        <w:snapToGrid w:val="0"/>
        <w:spacing w:line="360" w:lineRule="auto"/>
        <w:ind w:firstLine="600" w:firstLineChars="250"/>
        <w:textAlignment w:val="baseline"/>
        <w:rPr>
          <w:rFonts w:ascii="宋体" w:hAnsi="宋体" w:cs="宋体"/>
          <w:color w:val="000000"/>
          <w:sz w:val="24"/>
        </w:rPr>
      </w:pPr>
      <w:r>
        <w:rPr>
          <w:rFonts w:hint="eastAsia" w:ascii="宋体" w:hAnsi="宋体" w:cs="宋体"/>
          <w:color w:val="000000"/>
          <w:sz w:val="24"/>
        </w:rPr>
        <w:t>1.属于进口产品，用于教学和科研目的的，中标价为免税价格。</w:t>
      </w:r>
    </w:p>
    <w:p>
      <w:pPr>
        <w:snapToGrid w:val="0"/>
        <w:spacing w:line="360" w:lineRule="auto"/>
        <w:ind w:firstLine="600" w:firstLineChars="250"/>
        <w:textAlignment w:val="baseline"/>
        <w:rPr>
          <w:rFonts w:ascii="宋体" w:hAnsi="宋体" w:cs="宋体"/>
          <w:color w:val="000000"/>
          <w:sz w:val="24"/>
        </w:rPr>
      </w:pPr>
      <w:r>
        <w:rPr>
          <w:rFonts w:hint="eastAsia" w:ascii="宋体" w:hAnsi="宋体" w:cs="宋体"/>
          <w:color w:val="000000"/>
          <w:sz w:val="24"/>
        </w:rPr>
        <w:t>2.免税产品应由甲乙双方依据海关的要求签订委托进口代理协议，确认甲乙双方的责任与义务。委托进口代理协议作为本合同的不可分割部分。</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color w:val="000000"/>
          <w:sz w:val="24"/>
        </w:rPr>
        <w:t xml:space="preserve"> 3.免税产品通关时乙方必须进行商检，未商检的，造成的损失由乙方承担。</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八、交货时间、地点与方式</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1.乙方于 2021</w:t>
      </w:r>
      <w:r>
        <w:rPr>
          <w:rFonts w:hint="eastAsia" w:ascii="宋体" w:hAnsi="宋体" w:cs="宋体"/>
          <w:bCs/>
          <w:sz w:val="24"/>
        </w:rPr>
        <w:t>年12月13日</w:t>
      </w:r>
      <w:r>
        <w:rPr>
          <w:rFonts w:hint="eastAsia" w:ascii="宋体" w:hAnsi="宋体" w:cs="宋体"/>
          <w:sz w:val="24"/>
        </w:rPr>
        <w:t>之前将货物按甲方要求在甲方指定地点交货、安装、调试完毕，并具备使用条件，未经甲方允许每推迟一天，按合同总额的千分之五扣除违约金。</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sz w:val="24"/>
        </w:rPr>
        <w:t>2.乙方负责所供货物包装、运输、安装和调试，并承担所发生的</w:t>
      </w:r>
      <w:r>
        <w:rPr>
          <w:rFonts w:hint="eastAsia" w:ascii="宋体" w:hAnsi="宋体" w:cs="宋体"/>
          <w:color w:val="000000"/>
          <w:sz w:val="24"/>
        </w:rPr>
        <w:t>费用；甲方为乙方现场安装提供水、电等便利条件。</w:t>
      </w:r>
    </w:p>
    <w:p>
      <w:pPr>
        <w:snapToGrid w:val="0"/>
        <w:spacing w:line="360" w:lineRule="auto"/>
        <w:ind w:firstLine="480" w:firstLineChars="200"/>
        <w:textAlignment w:val="baseline"/>
        <w:rPr>
          <w:rFonts w:ascii="宋体" w:hAnsi="宋体" w:cs="宋体"/>
          <w:sz w:val="24"/>
        </w:rPr>
      </w:pPr>
      <w:r>
        <w:rPr>
          <w:rFonts w:hint="eastAsia" w:ascii="宋体" w:hAnsi="宋体" w:cs="宋体"/>
          <w:color w:val="000000"/>
          <w:sz w:val="24"/>
        </w:rPr>
        <w:t>3.安装过程中若发生安全事故</w:t>
      </w:r>
      <w:r>
        <w:rPr>
          <w:rFonts w:hint="eastAsia" w:ascii="宋体" w:hAnsi="宋体" w:cs="宋体"/>
          <w:sz w:val="24"/>
        </w:rPr>
        <w:t>由乙方承担。</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sz w:val="24"/>
        </w:rPr>
        <w:t>4.乙方安装人员应服从甲方的管理，遵守国家法律法规和学校相关制度，否则一切后果均由乙方承担</w:t>
      </w:r>
      <w:r>
        <w:rPr>
          <w:rFonts w:hint="eastAsia" w:ascii="宋体" w:hAnsi="宋体" w:cs="宋体"/>
          <w:color w:val="000000"/>
          <w:sz w:val="24"/>
        </w:rPr>
        <w:t>。</w:t>
      </w:r>
    </w:p>
    <w:p>
      <w:pPr>
        <w:snapToGrid w:val="0"/>
        <w:spacing w:line="360" w:lineRule="auto"/>
        <w:ind w:firstLine="480" w:firstLineChars="200"/>
        <w:textAlignment w:val="baseline"/>
        <w:rPr>
          <w:rFonts w:ascii="宋体" w:hAnsi="宋体" w:cs="宋体"/>
          <w:color w:val="000000"/>
          <w:sz w:val="24"/>
        </w:rPr>
      </w:pPr>
      <w:r>
        <w:rPr>
          <w:rFonts w:hint="eastAsia" w:ascii="宋体" w:hAnsi="宋体" w:cs="宋体"/>
          <w:color w:val="000000"/>
          <w:sz w:val="24"/>
        </w:rPr>
        <w:t>5.货物交付使用前，乙方负责对提供货物进行看管，并承担货物的丢失、损毁等风险。</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九、验收方式</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1.初步验收。甲方按合同所列质量标准、规格型号、技术参数以及数量等在现场验收，并填写初步验收单（详见附件4）。验收时，甲方有权提出采用技术和破坏相结合的方法。</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资产管理及专家成立验收专家组进行正式验收。学校验收通过后，才能支付合同款项。</w:t>
      </w:r>
    </w:p>
    <w:p>
      <w:pPr>
        <w:snapToGrid w:val="0"/>
        <w:spacing w:line="360" w:lineRule="auto"/>
        <w:ind w:left="40" w:leftChars="19" w:firstLine="279" w:firstLineChars="116"/>
        <w:textAlignment w:val="baseline"/>
        <w:rPr>
          <w:rFonts w:ascii="宋体" w:hAnsi="宋体" w:cs="宋体"/>
          <w:b/>
          <w:bCs/>
          <w:sz w:val="24"/>
        </w:rPr>
      </w:pPr>
      <w:r>
        <w:rPr>
          <w:rFonts w:hint="eastAsia" w:ascii="宋体" w:hAnsi="宋体" w:cs="宋体"/>
          <w:b/>
          <w:bCs/>
          <w:sz w:val="24"/>
        </w:rPr>
        <w:t>十、付款方式</w:t>
      </w:r>
    </w:p>
    <w:p>
      <w:pPr>
        <w:snapToGrid w:val="0"/>
        <w:spacing w:line="360" w:lineRule="auto"/>
        <w:ind w:firstLine="638" w:firstLineChars="266"/>
        <w:textAlignment w:val="baseline"/>
        <w:rPr>
          <w:rFonts w:ascii="宋体" w:hAnsi="宋体" w:cs="宋体"/>
          <w:sz w:val="24"/>
        </w:rPr>
      </w:pPr>
      <w:r>
        <w:rPr>
          <w:rFonts w:hint="eastAsia" w:ascii="宋体" w:hAnsi="宋体" w:cs="宋体"/>
          <w:sz w:val="24"/>
        </w:rPr>
        <w:t>1.本合同总价款（大写）为：</w:t>
      </w:r>
      <w:r>
        <w:rPr>
          <w:rFonts w:hint="eastAsia" w:ascii="宋体" w:hAnsi="宋体" w:cs="宋体"/>
          <w:b/>
          <w:bCs/>
          <w:color w:val="000000"/>
          <w:kern w:val="0"/>
          <w:sz w:val="24"/>
          <w:u w:val="single" w:color="000000"/>
        </w:rPr>
        <w:t>肆拾柒万零壹佰   （小写：￥ 470100    元）</w:t>
      </w:r>
      <w:r>
        <w:rPr>
          <w:rFonts w:hint="eastAsia" w:ascii="宋体" w:hAnsi="宋体" w:cs="宋体"/>
          <w:color w:val="000000"/>
          <w:sz w:val="24"/>
        </w:rPr>
        <w:t>。</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 xml:space="preserve"> 2.付款方式：货物验收合格后，经审计后，甲方向乙方支付全部货款的85％即人民币元整（小写：￥399585元），质保期满后，甲方向乙方支付剩余的全部货款即人民币元整（小写：￥70515元）。</w:t>
      </w:r>
    </w:p>
    <w:p>
      <w:pPr>
        <w:snapToGrid w:val="0"/>
        <w:spacing w:line="360" w:lineRule="auto"/>
        <w:ind w:firstLine="482" w:firstLineChars="200"/>
        <w:textAlignment w:val="baseline"/>
        <w:rPr>
          <w:rFonts w:ascii="宋体" w:hAnsi="宋体" w:cs="宋体"/>
          <w:b/>
          <w:bCs/>
          <w:sz w:val="24"/>
        </w:rPr>
      </w:pPr>
      <w:r>
        <w:rPr>
          <w:rFonts w:hint="eastAsia" w:ascii="宋体" w:hAnsi="宋体" w:cs="宋体"/>
          <w:b/>
          <w:bCs/>
          <w:sz w:val="24"/>
        </w:rPr>
        <w:t>十一、履约担保</w:t>
      </w:r>
    </w:p>
    <w:p>
      <w:pPr>
        <w:snapToGrid w:val="0"/>
        <w:spacing w:line="360" w:lineRule="auto"/>
        <w:ind w:firstLine="480" w:firstLineChars="200"/>
        <w:textAlignment w:val="baseline"/>
        <w:rPr>
          <w:rFonts w:ascii="宋体" w:hAnsi="宋体" w:cs="宋体"/>
          <w:sz w:val="24"/>
        </w:rPr>
      </w:pPr>
      <w:r>
        <w:rPr>
          <w:rFonts w:hint="eastAsia" w:ascii="宋体" w:hAnsi="宋体" w:cs="宋体"/>
          <w:sz w:val="24"/>
        </w:rPr>
        <w:t>乙方向甲方以转账的方式提供合同总额5%的履约保证金。履约担保金在签订合同前交学校财务处，货物验收合格，正式交付使用后予以退还。</w:t>
      </w:r>
    </w:p>
    <w:p>
      <w:pPr>
        <w:pStyle w:val="2"/>
      </w:pPr>
    </w:p>
    <w:p>
      <w:pPr>
        <w:pStyle w:val="2"/>
      </w:pPr>
    </w:p>
    <w:p>
      <w:pPr>
        <w:pStyle w:val="2"/>
      </w:pPr>
      <w:bookmarkStart w:id="1" w:name="_GoBack"/>
      <w:r>
        <w:drawing>
          <wp:inline distT="0" distB="0" distL="0" distR="0">
            <wp:extent cx="5579745" cy="7893685"/>
            <wp:effectExtent l="0" t="0" r="1905" b="12065"/>
            <wp:docPr id="5" name="图片 4" descr="C:\Users\lenovo\Desktop\郑州大学图书馆数据中心后备电源改造及基础设备维保服务采购项目(1)_png\郑州大学图书馆数据中心后备电源改造及基础设备维保服务采购项目(1)_png\郑州大学图书馆数据中心后备电源改造及基础设备维保服务采购项目(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lenovo\Desktop\郑州大学图书馆数据中心后备电源改造及基础设备维保服务采购项目(1)_png\郑州大学图书馆数据中心后备电源改造及基础设备维保服务采购项目(1)_png\郑州大学图书馆数据中心后备电源改造及基础设备维保服务采购项目(1)_4.png"/>
                    <pic:cNvPicPr>
                      <a:picLocks noChangeAspect="1" noChangeArrowheads="1"/>
                    </pic:cNvPicPr>
                  </pic:nvPicPr>
                  <pic:blipFill>
                    <a:blip r:embed="rId8" cstate="print"/>
                    <a:srcRect/>
                    <a:stretch>
                      <a:fillRect/>
                    </a:stretch>
                  </pic:blipFill>
                  <pic:spPr>
                    <a:xfrm>
                      <a:off x="0" y="0"/>
                      <a:ext cx="5579745" cy="7894098"/>
                    </a:xfrm>
                    <a:prstGeom prst="rect">
                      <a:avLst/>
                    </a:prstGeom>
                    <a:noFill/>
                    <a:ln w="9525">
                      <a:noFill/>
                      <a:miter lim="800000"/>
                      <a:headEnd/>
                      <a:tailEnd/>
                    </a:ln>
                  </pic:spPr>
                </pic:pic>
              </a:graphicData>
            </a:graphic>
          </wp:inline>
        </w:drawing>
      </w:r>
      <w:bookmarkEnd w:id="1"/>
    </w:p>
    <w:p>
      <w:pPr>
        <w:snapToGrid w:val="0"/>
        <w:spacing w:line="360" w:lineRule="auto"/>
        <w:ind w:firstLine="482" w:firstLineChars="200"/>
        <w:textAlignment w:val="baseline"/>
        <w:rPr>
          <w:rFonts w:ascii="宋体" w:hAnsi="宋体" w:cs="宋体"/>
          <w:b/>
          <w:bCs/>
          <w:sz w:val="24"/>
        </w:rPr>
        <w:sectPr>
          <w:headerReference r:id="rId3" w:type="default"/>
          <w:footerReference r:id="rId4" w:type="default"/>
          <w:pgSz w:w="11906" w:h="16838"/>
          <w:pgMar w:top="1418" w:right="1418" w:bottom="1418" w:left="1701" w:header="851" w:footer="992" w:gutter="0"/>
          <w:cols w:space="720" w:num="1"/>
          <w:docGrid w:type="lines" w:linePitch="312" w:charSpace="0"/>
        </w:sectPr>
      </w:pPr>
    </w:p>
    <w:p>
      <w:pPr>
        <w:spacing w:line="360" w:lineRule="auto"/>
        <w:textAlignment w:val="baseline"/>
        <w:rPr>
          <w:rFonts w:ascii="宋体" w:hAnsi="宋体" w:cs="宋体"/>
          <w:color w:val="000000"/>
          <w:kern w:val="0"/>
          <w:sz w:val="24"/>
        </w:rPr>
      </w:pPr>
      <w:r>
        <w:rPr>
          <w:rFonts w:ascii="宋体" w:hAnsi="宋体" w:cs="宋体"/>
          <w:color w:val="000000"/>
          <w:kern w:val="0"/>
          <w:sz w:val="24"/>
        </w:rPr>
        <w:drawing>
          <wp:inline distT="0" distB="0" distL="0" distR="0">
            <wp:extent cx="8863330" cy="6261100"/>
            <wp:effectExtent l="19050" t="0" r="0" b="0"/>
            <wp:docPr id="8" name="图片 7" descr="C:\Users\lenovo\Desktop\郑州大学图书馆数据中心后备电源改造及基础设备维保服务采购项目(1)_png\郑州大学图书馆数据中心后备电源改造及基础设备维保服务采购项目(1)_png\郑州大学图书馆数据中心后备电源改造及基础设备维保服务采购项目(1)_5_旋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C:\Users\lenovo\Desktop\郑州大学图书馆数据中心后备电源改造及基础设备维保服务采购项目(1)_png\郑州大学图书馆数据中心后备电源改造及基础设备维保服务采购项目(1)_png\郑州大学图书馆数据中心后备电源改造及基础设备维保服务采购项目(1)_5_旋转.png"/>
                    <pic:cNvPicPr>
                      <a:picLocks noChangeAspect="1" noChangeArrowheads="1"/>
                    </pic:cNvPicPr>
                  </pic:nvPicPr>
                  <pic:blipFill>
                    <a:blip r:embed="rId9" cstate="print"/>
                    <a:srcRect/>
                    <a:stretch>
                      <a:fillRect/>
                    </a:stretch>
                  </pic:blipFill>
                  <pic:spPr>
                    <a:xfrm>
                      <a:off x="0" y="0"/>
                      <a:ext cx="8863330" cy="6261107"/>
                    </a:xfrm>
                    <a:prstGeom prst="rect">
                      <a:avLst/>
                    </a:prstGeom>
                    <a:noFill/>
                    <a:ln w="9525">
                      <a:noFill/>
                      <a:miter lim="800000"/>
                      <a:headEnd/>
                      <a:tailEnd/>
                    </a:ln>
                  </pic:spPr>
                </pic:pic>
              </a:graphicData>
            </a:graphic>
          </wp:inline>
        </w:drawing>
      </w:r>
    </w:p>
    <w:p>
      <w:pPr>
        <w:pStyle w:val="2"/>
        <w:jc w:val="both"/>
      </w:pPr>
    </w:p>
    <w:p>
      <w:pPr>
        <w:spacing w:line="360" w:lineRule="auto"/>
        <w:jc w:val="left"/>
        <w:textAlignment w:val="baseline"/>
        <w:rPr>
          <w:rFonts w:ascii="宋体" w:hAnsi="宋体" w:cs="宋体"/>
          <w:sz w:val="28"/>
          <w:szCs w:val="28"/>
        </w:rPr>
      </w:pPr>
      <w:r>
        <w:rPr>
          <w:rFonts w:hint="eastAsia" w:ascii="宋体" w:hAnsi="宋体" w:cs="宋体"/>
          <w:sz w:val="28"/>
          <w:szCs w:val="28"/>
        </w:rPr>
        <w:t>附件2：</w:t>
      </w:r>
    </w:p>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设备</w:t>
      </w:r>
      <w:r>
        <w:rPr>
          <w:rFonts w:hint="eastAsia" w:ascii="宋体" w:hAnsi="宋体" w:cs="宋体"/>
          <w:b/>
          <w:bCs/>
          <w:sz w:val="28"/>
          <w:szCs w:val="28"/>
        </w:rPr>
        <w:t>技术规格参数、功能描述及</w:t>
      </w:r>
      <w:r>
        <w:rPr>
          <w:rFonts w:hint="eastAsia" w:ascii="宋体" w:hAnsi="宋体" w:cs="宋体"/>
          <w:b/>
          <w:bCs/>
          <w:color w:val="000000"/>
          <w:kern w:val="0"/>
          <w:sz w:val="28"/>
          <w:szCs w:val="28"/>
        </w:rPr>
        <w:t>配置清单表</w:t>
      </w:r>
    </w:p>
    <w:tbl>
      <w:tblPr>
        <w:tblStyle w:val="9"/>
        <w:tblW w:w="14389"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701"/>
        <w:gridCol w:w="9356"/>
        <w:gridCol w:w="113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ign w:val="center"/>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序 号</w:t>
            </w:r>
          </w:p>
        </w:tc>
        <w:tc>
          <w:tcPr>
            <w:tcW w:w="1701" w:type="dxa"/>
            <w:noWrap/>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设备名称</w:t>
            </w:r>
          </w:p>
        </w:tc>
        <w:tc>
          <w:tcPr>
            <w:tcW w:w="9356"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具体</w:t>
            </w:r>
            <w:r>
              <w:rPr>
                <w:rFonts w:hint="eastAsia" w:ascii="宋体" w:hAnsi="宋体" w:cs="宋体"/>
                <w:b/>
                <w:bCs/>
                <w:sz w:val="28"/>
                <w:szCs w:val="28"/>
              </w:rPr>
              <w:t>技术规格参数、功能描述及</w:t>
            </w:r>
            <w:r>
              <w:rPr>
                <w:rFonts w:hint="eastAsia" w:ascii="宋体" w:hAnsi="宋体" w:cs="宋体"/>
                <w:b/>
                <w:bCs/>
                <w:color w:val="000000"/>
                <w:kern w:val="0"/>
                <w:sz w:val="28"/>
                <w:szCs w:val="28"/>
              </w:rPr>
              <w:t>配置清单描述</w:t>
            </w:r>
          </w:p>
        </w:tc>
        <w:tc>
          <w:tcPr>
            <w:tcW w:w="1134"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 xml:space="preserve"> 单 位</w:t>
            </w:r>
          </w:p>
        </w:tc>
        <w:tc>
          <w:tcPr>
            <w:tcW w:w="1275"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 xml:space="preserve">  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ign w:val="center"/>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1</w:t>
            </w:r>
          </w:p>
        </w:tc>
        <w:tc>
          <w:tcPr>
            <w:tcW w:w="1701" w:type="dxa"/>
            <w:noWrap/>
          </w:tcPr>
          <w:p>
            <w:pPr>
              <w:spacing w:line="360" w:lineRule="auto"/>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康明斯柴油发电机组</w:t>
            </w:r>
          </w:p>
        </w:tc>
        <w:tc>
          <w:tcPr>
            <w:tcW w:w="9356" w:type="dxa"/>
            <w:noWrap/>
          </w:tcPr>
          <w:p>
            <w:pPr>
              <w:pStyle w:val="4"/>
              <w:textAlignment w:val="baseline"/>
              <w:rPr>
                <w:b/>
                <w:sz w:val="18"/>
                <w:szCs w:val="18"/>
              </w:rPr>
            </w:pPr>
          </w:p>
          <w:p>
            <w:pPr>
              <w:textAlignment w:val="baseline"/>
              <w:rPr>
                <w:b/>
                <w:sz w:val="18"/>
                <w:szCs w:val="18"/>
              </w:rPr>
            </w:pPr>
            <w:r>
              <w:rPr>
                <w:rFonts w:hint="eastAsia"/>
                <w:b/>
                <w:sz w:val="18"/>
                <w:szCs w:val="18"/>
              </w:rPr>
              <w:t>1、柴油发电机组技术参数：</w:t>
            </w:r>
          </w:p>
          <w:p>
            <w:pPr>
              <w:textAlignment w:val="baseline"/>
              <w:rPr>
                <w:b/>
                <w:sz w:val="18"/>
                <w:szCs w:val="18"/>
              </w:rPr>
            </w:pPr>
            <w:r>
              <w:rPr>
                <w:rFonts w:hint="eastAsia"/>
                <w:b/>
                <w:sz w:val="18"/>
                <w:szCs w:val="18"/>
              </w:rPr>
              <w:t>机组型号：康明斯300GF</w:t>
            </w:r>
          </w:p>
          <w:tbl>
            <w:tblPr>
              <w:tblStyle w:val="9"/>
              <w:tblW w:w="10220" w:type="dxa"/>
              <w:tblInd w:w="0" w:type="dxa"/>
              <w:tblLayout w:type="fixed"/>
              <w:tblCellMar>
                <w:top w:w="0" w:type="dxa"/>
                <w:left w:w="108" w:type="dxa"/>
                <w:bottom w:w="0" w:type="dxa"/>
                <w:right w:w="108" w:type="dxa"/>
              </w:tblCellMar>
            </w:tblPr>
            <w:tblGrid>
              <w:gridCol w:w="5340"/>
              <w:gridCol w:w="4880"/>
            </w:tblGrid>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u w:val="single" w:color="000000"/>
                    </w:rPr>
                  </w:pPr>
                  <w:r>
                    <w:rPr>
                      <w:rFonts w:hint="eastAsia" w:ascii="仿宋" w:hAnsi="仿宋" w:eastAsia="仿宋" w:cs="宋体"/>
                      <w:b/>
                      <w:bCs/>
                      <w:color w:val="000000"/>
                      <w:kern w:val="0"/>
                      <w:sz w:val="18"/>
                      <w:szCs w:val="18"/>
                      <w:u w:val="single" w:color="000000"/>
                    </w:rPr>
                    <w:t>主用</w:t>
                  </w:r>
                  <w:r>
                    <w:rPr>
                      <w:rFonts w:ascii="仿宋" w:hAnsi="仿宋" w:eastAsia="仿宋" w:cs="宋体"/>
                      <w:b/>
                      <w:bCs/>
                      <w:color w:val="000000"/>
                      <w:kern w:val="0"/>
                      <w:sz w:val="18"/>
                      <w:szCs w:val="18"/>
                      <w:u w:val="single" w:color="000000"/>
                    </w:rPr>
                    <w:t>/</w:t>
                  </w:r>
                  <w:r>
                    <w:rPr>
                      <w:rFonts w:hint="eastAsia" w:ascii="仿宋" w:hAnsi="仿宋" w:eastAsia="仿宋" w:cs="宋体"/>
                      <w:b/>
                      <w:bCs/>
                      <w:color w:val="000000"/>
                      <w:kern w:val="0"/>
                      <w:sz w:val="18"/>
                      <w:szCs w:val="18"/>
                      <w:u w:val="single" w:color="000000"/>
                    </w:rPr>
                    <w:t>备用功率（</w:t>
                  </w:r>
                  <w:r>
                    <w:rPr>
                      <w:rFonts w:ascii="仿宋" w:hAnsi="仿宋" w:eastAsia="仿宋" w:cs="宋体"/>
                      <w:b/>
                      <w:bCs/>
                      <w:color w:val="000000"/>
                      <w:kern w:val="0"/>
                      <w:sz w:val="18"/>
                      <w:szCs w:val="18"/>
                      <w:u w:val="single" w:color="000000"/>
                    </w:rPr>
                    <w:t>kW</w:t>
                  </w:r>
                  <w:r>
                    <w:rPr>
                      <w:rFonts w:hint="eastAsia" w:ascii="仿宋" w:hAnsi="仿宋" w:eastAsia="仿宋" w:cs="宋体"/>
                      <w:b/>
                      <w:bCs/>
                      <w:color w:val="000000"/>
                      <w:kern w:val="0"/>
                      <w:sz w:val="18"/>
                      <w:szCs w:val="18"/>
                      <w:u w:val="single" w:color="000000"/>
                    </w:rPr>
                    <w:t>）：</w:t>
                  </w:r>
                  <w:r>
                    <w:rPr>
                      <w:rFonts w:ascii="仿宋" w:hAnsi="仿宋" w:eastAsia="仿宋" w:cs="宋体"/>
                      <w:b/>
                      <w:bCs/>
                      <w:color w:val="000000"/>
                      <w:kern w:val="0"/>
                      <w:sz w:val="18"/>
                      <w:szCs w:val="18"/>
                      <w:u w:val="single" w:color="000000"/>
                    </w:rPr>
                    <w:t>300/330</w:t>
                  </w:r>
                </w:p>
              </w:tc>
              <w:tc>
                <w:tcPr>
                  <w:tcW w:w="488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u w:val="single" w:color="000000"/>
                    </w:rPr>
                  </w:pPr>
                  <w:r>
                    <w:rPr>
                      <w:rFonts w:hint="eastAsia" w:ascii="仿宋" w:hAnsi="仿宋" w:eastAsia="仿宋" w:cs="宋体"/>
                      <w:b/>
                      <w:bCs/>
                      <w:color w:val="000000"/>
                      <w:kern w:val="0"/>
                      <w:sz w:val="18"/>
                      <w:szCs w:val="18"/>
                      <w:u w:val="single" w:color="000000"/>
                    </w:rPr>
                    <w:t>额定电流（</w:t>
                  </w:r>
                  <w:r>
                    <w:rPr>
                      <w:rFonts w:ascii="仿宋" w:hAnsi="仿宋" w:eastAsia="仿宋" w:cs="宋体"/>
                      <w:b/>
                      <w:bCs/>
                      <w:color w:val="000000"/>
                      <w:kern w:val="0"/>
                      <w:sz w:val="18"/>
                      <w:szCs w:val="18"/>
                      <w:u w:val="single" w:color="000000"/>
                    </w:rPr>
                    <w:t>A</w:t>
                  </w:r>
                  <w:r>
                    <w:rPr>
                      <w:rFonts w:hint="eastAsia" w:ascii="仿宋" w:hAnsi="仿宋" w:eastAsia="仿宋" w:cs="宋体"/>
                      <w:b/>
                      <w:bCs/>
                      <w:color w:val="000000"/>
                      <w:kern w:val="0"/>
                      <w:sz w:val="18"/>
                      <w:szCs w:val="18"/>
                      <w:u w:val="single" w:color="000000"/>
                    </w:rPr>
                    <w:t>）：</w:t>
                  </w:r>
                  <w:r>
                    <w:rPr>
                      <w:rFonts w:ascii="仿宋" w:hAnsi="仿宋" w:eastAsia="仿宋" w:cs="宋体"/>
                      <w:b/>
                      <w:bCs/>
                      <w:color w:val="000000"/>
                      <w:kern w:val="0"/>
                      <w:sz w:val="18"/>
                      <w:szCs w:val="18"/>
                      <w:u w:val="single" w:color="000000"/>
                    </w:rPr>
                    <w:t>540</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额定电压（</w:t>
                  </w:r>
                  <w:r>
                    <w:rPr>
                      <w:rFonts w:ascii="仿宋" w:hAnsi="仿宋" w:eastAsia="仿宋" w:cs="宋体"/>
                      <w:b/>
                      <w:color w:val="000000"/>
                      <w:kern w:val="0"/>
                      <w:sz w:val="18"/>
                      <w:szCs w:val="18"/>
                    </w:rPr>
                    <w:t>V</w:t>
                  </w:r>
                  <w:r>
                    <w:rPr>
                      <w:rFonts w:hint="eastAsia" w:ascii="仿宋" w:hAnsi="仿宋" w:eastAsia="仿宋" w:cs="宋体"/>
                      <w:b/>
                      <w:color w:val="000000"/>
                      <w:kern w:val="0"/>
                      <w:sz w:val="18"/>
                      <w:szCs w:val="18"/>
                    </w:rPr>
                    <w:t>）：</w:t>
                  </w:r>
                  <w:r>
                    <w:rPr>
                      <w:rFonts w:ascii="仿宋" w:hAnsi="仿宋" w:eastAsia="仿宋" w:cs="宋体"/>
                      <w:b/>
                      <w:color w:val="000000"/>
                      <w:kern w:val="0"/>
                      <w:sz w:val="18"/>
                      <w:szCs w:val="18"/>
                    </w:rPr>
                    <w:t xml:space="preserve"> 400/230</w:t>
                  </w:r>
                </w:p>
              </w:tc>
              <w:tc>
                <w:tcPr>
                  <w:tcW w:w="488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额定频率（</w:t>
                  </w:r>
                  <w:r>
                    <w:rPr>
                      <w:rFonts w:ascii="仿宋" w:hAnsi="仿宋" w:eastAsia="仿宋" w:cs="宋体"/>
                      <w:b/>
                      <w:color w:val="000000"/>
                      <w:kern w:val="0"/>
                      <w:sz w:val="18"/>
                      <w:szCs w:val="18"/>
                    </w:rPr>
                    <w:t>HZ</w:t>
                  </w:r>
                  <w:r>
                    <w:rPr>
                      <w:rFonts w:hint="eastAsia" w:ascii="仿宋" w:hAnsi="仿宋" w:eastAsia="仿宋" w:cs="宋体"/>
                      <w:b/>
                      <w:color w:val="000000"/>
                      <w:kern w:val="0"/>
                      <w:sz w:val="18"/>
                      <w:szCs w:val="18"/>
                    </w:rPr>
                    <w:t>）：</w:t>
                  </w:r>
                  <w:r>
                    <w:rPr>
                      <w:rFonts w:ascii="仿宋" w:hAnsi="仿宋" w:eastAsia="仿宋" w:cs="宋体"/>
                      <w:b/>
                      <w:color w:val="000000"/>
                      <w:kern w:val="0"/>
                      <w:sz w:val="18"/>
                      <w:szCs w:val="18"/>
                    </w:rPr>
                    <w:t xml:space="preserve"> 50</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稳态电压调整率：≤</w:t>
                  </w:r>
                  <w:r>
                    <w:rPr>
                      <w:rFonts w:ascii="仿宋" w:hAnsi="仿宋" w:eastAsia="仿宋" w:cs="宋体"/>
                      <w:b/>
                      <w:color w:val="000000"/>
                      <w:kern w:val="0"/>
                      <w:sz w:val="18"/>
                      <w:szCs w:val="18"/>
                    </w:rPr>
                    <w:t>0.5%</w:t>
                  </w:r>
                </w:p>
              </w:tc>
              <w:tc>
                <w:tcPr>
                  <w:tcW w:w="488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稳态频率调整率：≤</w:t>
                  </w:r>
                  <w:r>
                    <w:rPr>
                      <w:rFonts w:ascii="仿宋" w:hAnsi="仿宋" w:eastAsia="仿宋" w:cs="宋体"/>
                      <w:b/>
                      <w:color w:val="000000"/>
                      <w:kern w:val="0"/>
                      <w:sz w:val="18"/>
                      <w:szCs w:val="18"/>
                    </w:rPr>
                    <w:t>0.5%</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瞬态电压调整率：≤</w:t>
                  </w:r>
                  <w:r>
                    <w:rPr>
                      <w:rFonts w:ascii="仿宋" w:hAnsi="仿宋" w:eastAsia="仿宋" w:cs="宋体"/>
                      <w:b/>
                      <w:color w:val="000000"/>
                      <w:kern w:val="0"/>
                      <w:sz w:val="18"/>
                      <w:szCs w:val="18"/>
                    </w:rPr>
                    <w:t>15%</w:t>
                  </w:r>
                </w:p>
              </w:tc>
              <w:tc>
                <w:tcPr>
                  <w:tcW w:w="488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瞬态频率调整率：≤</w:t>
                  </w:r>
                  <w:r>
                    <w:rPr>
                      <w:rFonts w:ascii="仿宋" w:hAnsi="仿宋" w:eastAsia="仿宋" w:cs="宋体"/>
                      <w:b/>
                      <w:color w:val="000000"/>
                      <w:kern w:val="0"/>
                      <w:sz w:val="18"/>
                      <w:szCs w:val="18"/>
                    </w:rPr>
                    <w:t>5%</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电压波动率：≤</w:t>
                  </w:r>
                  <w:r>
                    <w:rPr>
                      <w:rFonts w:ascii="仿宋" w:hAnsi="仿宋" w:eastAsia="仿宋" w:cs="宋体"/>
                      <w:b/>
                      <w:color w:val="000000"/>
                      <w:kern w:val="0"/>
                      <w:sz w:val="18"/>
                      <w:szCs w:val="18"/>
                    </w:rPr>
                    <w:t>0.5%</w:t>
                  </w:r>
                </w:p>
              </w:tc>
              <w:tc>
                <w:tcPr>
                  <w:tcW w:w="488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频率波动率：≤</w:t>
                  </w:r>
                  <w:r>
                    <w:rPr>
                      <w:rFonts w:ascii="仿宋" w:hAnsi="仿宋" w:eastAsia="仿宋" w:cs="宋体"/>
                      <w:b/>
                      <w:color w:val="000000"/>
                      <w:kern w:val="0"/>
                      <w:sz w:val="18"/>
                      <w:szCs w:val="18"/>
                    </w:rPr>
                    <w:t>0.5%</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电压稳定时间</w:t>
                  </w:r>
                  <w:r>
                    <w:rPr>
                      <w:rFonts w:ascii="仿宋" w:hAnsi="仿宋" w:eastAsia="仿宋" w:cs="宋体"/>
                      <w:b/>
                      <w:color w:val="000000"/>
                      <w:kern w:val="0"/>
                      <w:sz w:val="18"/>
                      <w:szCs w:val="18"/>
                    </w:rPr>
                    <w:t xml:space="preserve">: </w:t>
                  </w:r>
                  <w:r>
                    <w:rPr>
                      <w:rFonts w:hint="eastAsia" w:ascii="仿宋" w:hAnsi="仿宋" w:eastAsia="仿宋" w:cs="宋体"/>
                      <w:b/>
                      <w:color w:val="000000"/>
                      <w:kern w:val="0"/>
                      <w:sz w:val="18"/>
                      <w:szCs w:val="18"/>
                    </w:rPr>
                    <w:t>≤</w:t>
                  </w:r>
                  <w:r>
                    <w:rPr>
                      <w:rFonts w:ascii="仿宋" w:hAnsi="仿宋" w:eastAsia="仿宋" w:cs="宋体"/>
                      <w:b/>
                      <w:color w:val="000000"/>
                      <w:kern w:val="0"/>
                      <w:sz w:val="18"/>
                      <w:szCs w:val="18"/>
                    </w:rPr>
                    <w:t>3S</w:t>
                  </w:r>
                </w:p>
              </w:tc>
              <w:tc>
                <w:tcPr>
                  <w:tcW w:w="488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频率稳定时间</w:t>
                  </w:r>
                  <w:r>
                    <w:rPr>
                      <w:rFonts w:ascii="仿宋" w:hAnsi="仿宋" w:eastAsia="仿宋" w:cs="宋体"/>
                      <w:b/>
                      <w:color w:val="000000"/>
                      <w:kern w:val="0"/>
                      <w:sz w:val="18"/>
                      <w:szCs w:val="18"/>
                    </w:rPr>
                    <w:t xml:space="preserve">: </w:t>
                  </w:r>
                  <w:r>
                    <w:rPr>
                      <w:rFonts w:hint="eastAsia" w:ascii="仿宋" w:hAnsi="仿宋" w:eastAsia="仿宋" w:cs="宋体"/>
                      <w:b/>
                      <w:color w:val="000000"/>
                      <w:kern w:val="0"/>
                      <w:sz w:val="18"/>
                      <w:szCs w:val="18"/>
                    </w:rPr>
                    <w:t>≤</w:t>
                  </w:r>
                  <w:r>
                    <w:rPr>
                      <w:rFonts w:ascii="仿宋" w:hAnsi="仿宋" w:eastAsia="仿宋" w:cs="宋体"/>
                      <w:b/>
                      <w:color w:val="000000"/>
                      <w:kern w:val="0"/>
                      <w:sz w:val="18"/>
                      <w:szCs w:val="18"/>
                    </w:rPr>
                    <w:t>3S</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接线方式：</w:t>
                  </w:r>
                  <w:r>
                    <w:rPr>
                      <w:rFonts w:ascii="仿宋" w:hAnsi="仿宋" w:eastAsia="仿宋" w:cs="宋体"/>
                      <w:b/>
                      <w:color w:val="000000"/>
                      <w:kern w:val="0"/>
                      <w:sz w:val="18"/>
                      <w:szCs w:val="18"/>
                    </w:rPr>
                    <w:t xml:space="preserve"> 3 </w:t>
                  </w:r>
                  <w:r>
                    <w:rPr>
                      <w:rFonts w:hint="eastAsia" w:ascii="仿宋" w:hAnsi="仿宋" w:eastAsia="仿宋" w:cs="宋体"/>
                      <w:b/>
                      <w:color w:val="000000"/>
                      <w:kern w:val="0"/>
                      <w:sz w:val="18"/>
                      <w:szCs w:val="18"/>
                    </w:rPr>
                    <w:t>相</w:t>
                  </w:r>
                  <w:r>
                    <w:rPr>
                      <w:rFonts w:ascii="仿宋" w:hAnsi="仿宋" w:eastAsia="仿宋" w:cs="宋体"/>
                      <w:b/>
                      <w:color w:val="000000"/>
                      <w:kern w:val="0"/>
                      <w:sz w:val="18"/>
                      <w:szCs w:val="18"/>
                    </w:rPr>
                    <w:t xml:space="preserve"> 4 </w:t>
                  </w:r>
                  <w:r>
                    <w:rPr>
                      <w:rFonts w:hint="eastAsia" w:ascii="仿宋" w:hAnsi="仿宋" w:eastAsia="仿宋" w:cs="宋体"/>
                      <w:b/>
                      <w:color w:val="000000"/>
                      <w:kern w:val="0"/>
                      <w:sz w:val="18"/>
                      <w:szCs w:val="18"/>
                    </w:rPr>
                    <w:t>线制</w:t>
                  </w:r>
                </w:p>
              </w:tc>
              <w:tc>
                <w:tcPr>
                  <w:tcW w:w="488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起动成功率：</w:t>
                  </w:r>
                  <w:r>
                    <w:rPr>
                      <w:rFonts w:ascii="仿宋" w:hAnsi="仿宋" w:eastAsia="仿宋" w:cs="宋体"/>
                      <w:b/>
                      <w:color w:val="000000"/>
                      <w:kern w:val="0"/>
                      <w:sz w:val="18"/>
                      <w:szCs w:val="18"/>
                    </w:rPr>
                    <w:t xml:space="preserve"> 99%</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海拔高度：≤</w:t>
                  </w:r>
                  <w:r>
                    <w:rPr>
                      <w:rFonts w:ascii="仿宋" w:hAnsi="仿宋" w:eastAsia="仿宋" w:cs="宋体"/>
                      <w:b/>
                      <w:color w:val="000000"/>
                      <w:kern w:val="0"/>
                      <w:sz w:val="18"/>
                      <w:szCs w:val="18"/>
                    </w:rPr>
                    <w:t xml:space="preserve">1000M    </w:t>
                  </w:r>
                  <w:r>
                    <w:rPr>
                      <w:rFonts w:hint="eastAsia" w:ascii="仿宋" w:hAnsi="仿宋" w:eastAsia="仿宋" w:cs="宋体"/>
                      <w:b/>
                      <w:color w:val="000000"/>
                      <w:kern w:val="0"/>
                      <w:sz w:val="18"/>
                      <w:szCs w:val="18"/>
                    </w:rPr>
                    <w:t>海拔功率衰减：每上升 500M，1000M－</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3000M修正 4%，3000M 以上 6%</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相对湿度：≤</w:t>
                  </w:r>
                  <w:r>
                    <w:rPr>
                      <w:rFonts w:ascii="仿宋" w:hAnsi="仿宋" w:eastAsia="仿宋" w:cs="宋体"/>
                      <w:b/>
                      <w:color w:val="000000"/>
                      <w:kern w:val="0"/>
                      <w:sz w:val="18"/>
                      <w:szCs w:val="18"/>
                    </w:rPr>
                    <w:t>90%</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环境温度：≤40°C1</w:t>
                  </w:r>
                </w:p>
              </w:tc>
            </w:tr>
            <w:tr>
              <w:trPr>
                <w:trHeight w:val="76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机组尺寸：外形尺寸</w:t>
                  </w:r>
                  <w:r>
                    <w:rPr>
                      <w:rFonts w:ascii="仿宋" w:hAnsi="仿宋" w:eastAsia="仿宋" w:cs="宋体"/>
                      <w:b/>
                      <w:color w:val="000000"/>
                      <w:kern w:val="0"/>
                      <w:sz w:val="18"/>
                      <w:szCs w:val="18"/>
                    </w:rPr>
                    <w:t>(mm)</w:t>
                  </w:r>
                  <w:r>
                    <w:rPr>
                      <w:rFonts w:hint="eastAsia" w:ascii="仿宋" w:hAnsi="仿宋" w:eastAsia="仿宋" w:cs="宋体"/>
                      <w:b/>
                      <w:color w:val="000000"/>
                      <w:kern w:val="0"/>
                      <w:sz w:val="18"/>
                      <w:szCs w:val="18"/>
                    </w:rPr>
                    <w:t>：</w:t>
                  </w:r>
                  <w:r>
                    <w:rPr>
                      <w:rFonts w:ascii="仿宋" w:hAnsi="仿宋" w:eastAsia="仿宋" w:cs="宋体"/>
                      <w:b/>
                      <w:color w:val="000000"/>
                      <w:kern w:val="0"/>
                      <w:sz w:val="18"/>
                      <w:szCs w:val="18"/>
                    </w:rPr>
                    <w:t>3800</w:t>
                  </w:r>
                  <w:r>
                    <w:rPr>
                      <w:rFonts w:hint="eastAsia" w:ascii="仿宋" w:hAnsi="仿宋" w:eastAsia="仿宋" w:cs="宋体"/>
                      <w:b/>
                      <w:color w:val="000000"/>
                      <w:kern w:val="0"/>
                      <w:sz w:val="18"/>
                      <w:szCs w:val="18"/>
                    </w:rPr>
                    <w:t>×</w:t>
                  </w:r>
                  <w:r>
                    <w:rPr>
                      <w:rFonts w:ascii="仿宋" w:hAnsi="仿宋" w:eastAsia="仿宋" w:cs="宋体"/>
                      <w:b/>
                      <w:color w:val="000000"/>
                      <w:kern w:val="0"/>
                      <w:sz w:val="18"/>
                      <w:szCs w:val="18"/>
                    </w:rPr>
                    <w:t>1600</w:t>
                  </w:r>
                  <w:r>
                    <w:rPr>
                      <w:rFonts w:hint="eastAsia" w:ascii="仿宋" w:hAnsi="仿宋" w:eastAsia="仿宋" w:cs="宋体"/>
                      <w:b/>
                      <w:color w:val="000000"/>
                      <w:kern w:val="0"/>
                      <w:sz w:val="18"/>
                      <w:szCs w:val="18"/>
                    </w:rPr>
                    <w:t>×</w:t>
                  </w:r>
                  <w:r>
                    <w:rPr>
                      <w:rFonts w:ascii="仿宋" w:hAnsi="仿宋" w:eastAsia="仿宋" w:cs="宋体"/>
                      <w:b/>
                      <w:color w:val="000000"/>
                      <w:kern w:val="0"/>
                      <w:sz w:val="18"/>
                      <w:szCs w:val="18"/>
                    </w:rPr>
                    <w:t>2100</w:t>
                  </w:r>
                  <w:r>
                    <w:rPr>
                      <w:rFonts w:hint="eastAsia" w:ascii="仿宋" w:hAnsi="仿宋" w:eastAsia="仿宋" w:cs="宋体"/>
                      <w:b/>
                      <w:color w:val="000000"/>
                      <w:kern w:val="0"/>
                      <w:sz w:val="18"/>
                      <w:szCs w:val="18"/>
                    </w:rPr>
                    <w:t>（静音型）</w:t>
                  </w:r>
                </w:p>
                <w:p>
                  <w:pPr>
                    <w:pStyle w:val="2"/>
                  </w:pPr>
                  <w:r>
                    <w:rPr>
                      <w:rFonts w:hint="eastAsia"/>
                    </w:rPr>
                    <w:t>静音箱体定制型钢板，7米处不高于75db</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机组重量</w:t>
                  </w:r>
                  <w:r>
                    <w:rPr>
                      <w:rFonts w:ascii="仿宋" w:hAnsi="仿宋" w:eastAsia="仿宋" w:cs="宋体"/>
                      <w:b/>
                      <w:color w:val="000000"/>
                      <w:kern w:val="0"/>
                      <w:sz w:val="18"/>
                      <w:szCs w:val="18"/>
                    </w:rPr>
                    <w:t>(kg)</w:t>
                  </w:r>
                  <w:r>
                    <w:rPr>
                      <w:rFonts w:hint="eastAsia" w:ascii="仿宋" w:hAnsi="仿宋" w:eastAsia="仿宋" w:cs="宋体"/>
                      <w:b/>
                      <w:color w:val="000000"/>
                      <w:kern w:val="0"/>
                      <w:sz w:val="18"/>
                      <w:szCs w:val="18"/>
                    </w:rPr>
                    <w:t>：</w:t>
                  </w:r>
                  <w:r>
                    <w:rPr>
                      <w:rFonts w:ascii="仿宋" w:hAnsi="仿宋" w:eastAsia="仿宋" w:cs="宋体"/>
                      <w:b/>
                      <w:color w:val="000000"/>
                      <w:kern w:val="0"/>
                      <w:sz w:val="18"/>
                      <w:szCs w:val="18"/>
                    </w:rPr>
                    <w:t>4300</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启动方式：24V电启动</w:t>
                  </w:r>
                </w:p>
              </w:tc>
            </w:tr>
          </w:tbl>
          <w:p>
            <w:pPr>
              <w:pStyle w:val="2"/>
            </w:pPr>
          </w:p>
          <w:p>
            <w:pPr>
              <w:textAlignment w:val="baseline"/>
              <w:rPr>
                <w:sz w:val="20"/>
              </w:rPr>
            </w:pPr>
          </w:p>
          <w:p>
            <w:pPr>
              <w:textAlignment w:val="baseline"/>
              <w:rPr>
                <w:b/>
                <w:sz w:val="15"/>
                <w:szCs w:val="15"/>
              </w:rPr>
            </w:pPr>
            <w:r>
              <w:rPr>
                <w:rFonts w:hint="eastAsia"/>
                <w:b/>
                <w:sz w:val="15"/>
                <w:szCs w:val="15"/>
              </w:rPr>
              <w:t>2、柴油机技术参数</w:t>
            </w:r>
          </w:p>
          <w:p>
            <w:pPr>
              <w:textAlignment w:val="baseline"/>
              <w:rPr>
                <w:rFonts w:cs="Arial"/>
                <w:b/>
                <w:sz w:val="15"/>
                <w:szCs w:val="15"/>
                <w:u w:val="single"/>
              </w:rPr>
            </w:pPr>
            <w:r>
              <w:rPr>
                <w:rFonts w:hint="eastAsia" w:cs="Arial"/>
                <w:b/>
                <w:sz w:val="15"/>
                <w:szCs w:val="15"/>
                <w:u w:val="single" w:color="000000"/>
              </w:rPr>
              <w:t>品牌：康明斯</w:t>
            </w:r>
          </w:p>
          <w:tbl>
            <w:tblPr>
              <w:tblStyle w:val="9"/>
              <w:tblW w:w="10220" w:type="dxa"/>
              <w:tblInd w:w="0" w:type="dxa"/>
              <w:tblLayout w:type="fixed"/>
              <w:tblCellMar>
                <w:top w:w="0" w:type="dxa"/>
                <w:left w:w="108" w:type="dxa"/>
                <w:bottom w:w="0" w:type="dxa"/>
                <w:right w:w="108" w:type="dxa"/>
              </w:tblCellMar>
            </w:tblPr>
            <w:tblGrid>
              <w:gridCol w:w="5340"/>
              <w:gridCol w:w="4880"/>
            </w:tblGrid>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u w:val="single" w:color="000000"/>
                    </w:rPr>
                  </w:pPr>
                  <w:r>
                    <w:rPr>
                      <w:rFonts w:hint="eastAsia" w:ascii="仿宋" w:hAnsi="仿宋" w:eastAsia="仿宋" w:cs="宋体"/>
                      <w:b/>
                      <w:bCs/>
                      <w:color w:val="000000"/>
                      <w:kern w:val="0"/>
                      <w:sz w:val="18"/>
                      <w:szCs w:val="18"/>
                      <w:u w:val="single" w:color="000000"/>
                    </w:rPr>
                    <w:t>主用</w:t>
                  </w:r>
                  <w:r>
                    <w:rPr>
                      <w:rFonts w:ascii="仿宋" w:hAnsi="仿宋" w:eastAsia="仿宋" w:cs="宋体"/>
                      <w:b/>
                      <w:bCs/>
                      <w:color w:val="000000"/>
                      <w:kern w:val="0"/>
                      <w:sz w:val="18"/>
                      <w:szCs w:val="18"/>
                      <w:u w:val="single" w:color="000000"/>
                    </w:rPr>
                    <w:t>/</w:t>
                  </w:r>
                  <w:r>
                    <w:rPr>
                      <w:rFonts w:hint="eastAsia" w:ascii="仿宋" w:hAnsi="仿宋" w:eastAsia="仿宋" w:cs="宋体"/>
                      <w:b/>
                      <w:bCs/>
                      <w:color w:val="000000"/>
                      <w:kern w:val="0"/>
                      <w:sz w:val="18"/>
                      <w:szCs w:val="18"/>
                      <w:u w:val="single" w:color="000000"/>
                    </w:rPr>
                    <w:t>备用功率（</w:t>
                  </w:r>
                  <w:r>
                    <w:rPr>
                      <w:rFonts w:ascii="仿宋" w:hAnsi="仿宋" w:eastAsia="仿宋" w:cs="宋体"/>
                      <w:b/>
                      <w:bCs/>
                      <w:color w:val="000000"/>
                      <w:kern w:val="0"/>
                      <w:sz w:val="18"/>
                      <w:szCs w:val="18"/>
                      <w:u w:val="single" w:color="000000"/>
                    </w:rPr>
                    <w:t>kW</w:t>
                  </w:r>
                  <w:r>
                    <w:rPr>
                      <w:rFonts w:hint="eastAsia" w:ascii="仿宋" w:hAnsi="仿宋" w:eastAsia="仿宋" w:cs="宋体"/>
                      <w:b/>
                      <w:bCs/>
                      <w:color w:val="000000"/>
                      <w:kern w:val="0"/>
                      <w:sz w:val="18"/>
                      <w:szCs w:val="18"/>
                      <w:u w:val="single" w:color="000000"/>
                    </w:rPr>
                    <w:t>）：</w:t>
                  </w:r>
                  <w:r>
                    <w:rPr>
                      <w:rFonts w:ascii="仿宋" w:hAnsi="仿宋" w:eastAsia="仿宋" w:cs="宋体"/>
                      <w:b/>
                      <w:bCs/>
                      <w:color w:val="000000"/>
                      <w:kern w:val="0"/>
                      <w:sz w:val="18"/>
                      <w:szCs w:val="18"/>
                      <w:u w:val="single" w:color="000000"/>
                    </w:rPr>
                    <w:t>343/377</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额定转速(r/min)： 1500</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u w:val="single" w:color="000000"/>
                    </w:rPr>
                  </w:pPr>
                  <w:r>
                    <w:rPr>
                      <w:rFonts w:hint="eastAsia" w:ascii="仿宋" w:hAnsi="仿宋" w:eastAsia="仿宋" w:cs="宋体"/>
                      <w:b/>
                      <w:bCs/>
                      <w:color w:val="000000"/>
                      <w:kern w:val="0"/>
                      <w:sz w:val="18"/>
                      <w:szCs w:val="18"/>
                      <w:u w:val="single" w:color="000000"/>
                    </w:rPr>
                    <w:t>气缸数量：</w:t>
                  </w:r>
                  <w:r>
                    <w:rPr>
                      <w:rFonts w:ascii="仿宋" w:hAnsi="仿宋" w:eastAsia="仿宋" w:cs="宋体"/>
                      <w:b/>
                      <w:bCs/>
                      <w:color w:val="000000"/>
                      <w:kern w:val="0"/>
                      <w:sz w:val="18"/>
                      <w:szCs w:val="18"/>
                      <w:u w:val="single" w:color="000000"/>
                    </w:rPr>
                    <w:t>6</w:t>
                  </w:r>
                  <w:r>
                    <w:rPr>
                      <w:rFonts w:hint="eastAsia" w:ascii="仿宋" w:hAnsi="仿宋" w:eastAsia="仿宋" w:cs="宋体"/>
                      <w:b/>
                      <w:bCs/>
                      <w:color w:val="000000"/>
                      <w:kern w:val="0"/>
                      <w:sz w:val="18"/>
                      <w:szCs w:val="18"/>
                      <w:u w:val="single" w:color="000000"/>
                    </w:rPr>
                    <w:t>缸</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气缸排列方式（mm）：直列 140 X 152</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u w:val="single" w:color="000000"/>
                    </w:rPr>
                  </w:pPr>
                  <w:r>
                    <w:rPr>
                      <w:rFonts w:hint="eastAsia" w:ascii="仿宋" w:hAnsi="仿宋" w:eastAsia="仿宋" w:cs="宋体"/>
                      <w:b/>
                      <w:bCs/>
                      <w:color w:val="000000"/>
                      <w:kern w:val="0"/>
                      <w:sz w:val="18"/>
                      <w:szCs w:val="18"/>
                      <w:u w:val="single" w:color="000000"/>
                    </w:rPr>
                    <w:t>压缩比：</w:t>
                  </w:r>
                  <w:r>
                    <w:rPr>
                      <w:rFonts w:ascii="仿宋" w:hAnsi="仿宋" w:eastAsia="仿宋" w:cs="宋体"/>
                      <w:b/>
                      <w:bCs/>
                      <w:color w:val="000000"/>
                      <w:kern w:val="0"/>
                      <w:sz w:val="18"/>
                      <w:szCs w:val="18"/>
                      <w:u w:val="single" w:color="000000"/>
                    </w:rPr>
                    <w:t>15.0:1</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排气量（L）：14</w:t>
                  </w:r>
                </w:p>
              </w:tc>
            </w:tr>
            <w:tr>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u w:val="single" w:color="000000"/>
                    </w:rPr>
                  </w:pPr>
                  <w:r>
                    <w:rPr>
                      <w:rFonts w:hint="eastAsia" w:ascii="仿宋" w:hAnsi="仿宋" w:eastAsia="仿宋" w:cs="宋体"/>
                      <w:b/>
                      <w:bCs/>
                      <w:color w:val="000000"/>
                      <w:kern w:val="0"/>
                      <w:sz w:val="18"/>
                      <w:szCs w:val="18"/>
                      <w:u w:val="single" w:color="000000"/>
                    </w:rPr>
                    <w:t>冷却方式：全封闭式水循环强制风冷</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冷却水容量（L）：68.8</w:t>
                  </w:r>
                </w:p>
              </w:tc>
            </w:tr>
            <w:tr>
              <w:tblPrEx>
                <w:tblCellMar>
                  <w:top w:w="0" w:type="dxa"/>
                  <w:left w:w="108" w:type="dxa"/>
                  <w:bottom w:w="0" w:type="dxa"/>
                  <w:right w:w="108" w:type="dxa"/>
                </w:tblCellMar>
              </w:tblPrEx>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冷却水介质：软水、防冻液</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机油容量（L）：38.6</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机油等级：</w:t>
                  </w:r>
                  <w:r>
                    <w:rPr>
                      <w:rFonts w:ascii="仿宋" w:hAnsi="仿宋" w:eastAsia="仿宋" w:cs="宋体"/>
                      <w:b/>
                      <w:color w:val="000000"/>
                      <w:kern w:val="0"/>
                      <w:sz w:val="18"/>
                      <w:szCs w:val="18"/>
                    </w:rPr>
                    <w:t xml:space="preserve"> CF </w:t>
                  </w:r>
                  <w:r>
                    <w:rPr>
                      <w:rFonts w:hint="eastAsia" w:ascii="仿宋" w:hAnsi="仿宋" w:eastAsia="仿宋" w:cs="宋体"/>
                      <w:b/>
                      <w:color w:val="000000"/>
                      <w:kern w:val="0"/>
                      <w:sz w:val="18"/>
                      <w:szCs w:val="18"/>
                    </w:rPr>
                    <w:t>级</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额定燃油耗（g/kW.h）： 70.9</w:t>
                  </w:r>
                </w:p>
              </w:tc>
            </w:tr>
            <w:tr>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调速方式：电子调速</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吸气方式：废气涡轮增压中冷</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rPr>
                  </w:pPr>
                  <w:r>
                    <w:rPr>
                      <w:rFonts w:ascii="仿宋" w:hAnsi="仿宋" w:eastAsia="仿宋" w:cs="宋体"/>
                      <w:b/>
                      <w:bCs/>
                      <w:color w:val="000000"/>
                      <w:kern w:val="0"/>
                      <w:sz w:val="18"/>
                      <w:szCs w:val="18"/>
                    </w:rPr>
                    <w:t>3</w:t>
                  </w:r>
                  <w:r>
                    <w:rPr>
                      <w:rFonts w:hint="eastAsia" w:ascii="仿宋" w:hAnsi="仿宋" w:eastAsia="仿宋" w:cs="宋体"/>
                      <w:b/>
                      <w:bCs/>
                      <w:color w:val="000000"/>
                      <w:kern w:val="0"/>
                      <w:sz w:val="18"/>
                      <w:szCs w:val="18"/>
                    </w:rPr>
                    <w:t>、交流发电机技术参数</w:t>
                  </w:r>
                </w:p>
              </w:tc>
              <w:tc>
                <w:tcPr>
                  <w:tcW w:w="4880" w:type="dxa"/>
                  <w:tcBorders>
                    <w:top w:val="nil"/>
                    <w:left w:val="nil"/>
                    <w:bottom w:val="nil"/>
                    <w:right w:val="nil"/>
                  </w:tcBorders>
                  <w:shd w:val="clear" w:color="auto" w:fill="auto"/>
                  <w:noWrap/>
                  <w:vAlign w:val="bottom"/>
                </w:tcPr>
                <w:p>
                  <w:pPr>
                    <w:widowControl/>
                    <w:textAlignment w:val="baseline"/>
                    <w:rPr>
                      <w:rFonts w:ascii="仿宋" w:hAnsi="仿宋" w:eastAsia="仿宋" w:cs="宋体"/>
                      <w:b/>
                      <w:bCs/>
                      <w:color w:val="000000"/>
                      <w:kern w:val="0"/>
                      <w:sz w:val="18"/>
                      <w:szCs w:val="18"/>
                    </w:rPr>
                  </w:pPr>
                </w:p>
              </w:tc>
            </w:tr>
            <w:tr>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u w:val="single" w:color="000000"/>
                    </w:rPr>
                  </w:pPr>
                  <w:r>
                    <w:rPr>
                      <w:rFonts w:hint="eastAsia" w:ascii="仿宋" w:hAnsi="仿宋" w:eastAsia="仿宋" w:cs="宋体"/>
                      <w:b/>
                      <w:bCs/>
                      <w:color w:val="000000"/>
                      <w:kern w:val="0"/>
                      <w:sz w:val="18"/>
                      <w:szCs w:val="18"/>
                      <w:u w:val="single" w:color="000000"/>
                    </w:rPr>
                    <w:t>品牌:德丰DF300、国内知名品牌</w:t>
                  </w:r>
                </w:p>
              </w:tc>
              <w:tc>
                <w:tcPr>
                  <w:tcW w:w="4880" w:type="dxa"/>
                  <w:tcBorders>
                    <w:top w:val="nil"/>
                    <w:left w:val="nil"/>
                    <w:bottom w:val="nil"/>
                    <w:right w:val="nil"/>
                  </w:tcBorders>
                  <w:shd w:val="clear" w:color="auto" w:fill="auto"/>
                  <w:noWrap/>
                  <w:vAlign w:val="bottom"/>
                </w:tcPr>
                <w:p>
                  <w:pPr>
                    <w:widowControl/>
                    <w:textAlignment w:val="baseline"/>
                    <w:rPr>
                      <w:rFonts w:ascii="仿宋" w:hAnsi="仿宋" w:eastAsia="仿宋" w:cs="宋体"/>
                      <w:b/>
                      <w:bCs/>
                      <w:color w:val="000000"/>
                      <w:kern w:val="0"/>
                      <w:sz w:val="18"/>
                      <w:szCs w:val="18"/>
                      <w:u w:val="single" w:color="000000"/>
                    </w:rPr>
                  </w:pP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bCs/>
                      <w:color w:val="000000"/>
                      <w:kern w:val="0"/>
                      <w:sz w:val="18"/>
                      <w:szCs w:val="18"/>
                      <w:u w:val="single" w:color="000000"/>
                    </w:rPr>
                  </w:pPr>
                  <w:r>
                    <w:rPr>
                      <w:rFonts w:hint="eastAsia" w:ascii="仿宋" w:hAnsi="仿宋" w:eastAsia="仿宋" w:cs="宋体"/>
                      <w:b/>
                      <w:bCs/>
                      <w:color w:val="000000"/>
                      <w:kern w:val="0"/>
                      <w:sz w:val="18"/>
                      <w:szCs w:val="18"/>
                      <w:u w:val="single" w:color="000000"/>
                    </w:rPr>
                    <w:t>额定功率（</w:t>
                  </w:r>
                  <w:r>
                    <w:rPr>
                      <w:rFonts w:ascii="仿宋" w:hAnsi="仿宋" w:eastAsia="仿宋" w:cs="宋体"/>
                      <w:b/>
                      <w:bCs/>
                      <w:color w:val="000000"/>
                      <w:kern w:val="0"/>
                      <w:sz w:val="18"/>
                      <w:szCs w:val="18"/>
                      <w:u w:val="single" w:color="000000"/>
                    </w:rPr>
                    <w:t>kW</w:t>
                  </w:r>
                  <w:r>
                    <w:rPr>
                      <w:rFonts w:hint="eastAsia" w:ascii="仿宋" w:hAnsi="仿宋" w:eastAsia="仿宋" w:cs="宋体"/>
                      <w:b/>
                      <w:bCs/>
                      <w:color w:val="000000"/>
                      <w:kern w:val="0"/>
                      <w:sz w:val="18"/>
                      <w:szCs w:val="18"/>
                      <w:u w:val="single" w:color="000000"/>
                    </w:rPr>
                    <w:t>）：</w:t>
                  </w:r>
                  <w:r>
                    <w:rPr>
                      <w:rFonts w:ascii="仿宋" w:hAnsi="仿宋" w:eastAsia="仿宋" w:cs="宋体"/>
                      <w:b/>
                      <w:bCs/>
                      <w:color w:val="000000"/>
                      <w:kern w:val="0"/>
                      <w:sz w:val="18"/>
                      <w:szCs w:val="18"/>
                      <w:u w:val="single" w:color="000000"/>
                    </w:rPr>
                    <w:t>300</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额定电压（V）： 400/230</w:t>
                  </w:r>
                </w:p>
              </w:tc>
            </w:tr>
            <w:tr>
              <w:tblPrEx>
                <w:tblCellMar>
                  <w:top w:w="0" w:type="dxa"/>
                  <w:left w:w="108" w:type="dxa"/>
                  <w:bottom w:w="0" w:type="dxa"/>
                  <w:right w:w="108" w:type="dxa"/>
                </w:tblCellMar>
              </w:tblPrEx>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额定功率因数：</w:t>
                  </w:r>
                  <w:r>
                    <w:rPr>
                      <w:rFonts w:ascii="仿宋" w:hAnsi="仿宋" w:eastAsia="仿宋" w:cs="宋体"/>
                      <w:b/>
                      <w:color w:val="000000"/>
                      <w:kern w:val="0"/>
                      <w:sz w:val="18"/>
                      <w:szCs w:val="18"/>
                    </w:rPr>
                    <w:t xml:space="preserve"> 0.8</w:t>
                  </w:r>
                  <w:r>
                    <w:rPr>
                      <w:rFonts w:hint="eastAsia" w:ascii="仿宋" w:hAnsi="仿宋" w:eastAsia="仿宋" w:cs="宋体"/>
                      <w:b/>
                      <w:color w:val="000000"/>
                      <w:kern w:val="0"/>
                      <w:sz w:val="18"/>
                      <w:szCs w:val="18"/>
                    </w:rPr>
                    <w:t>（滞后）</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AVR 电压调整率：≤±1%</w:t>
                  </w:r>
                </w:p>
              </w:tc>
            </w:tr>
            <w:tr>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u w:val="single" w:color="000000"/>
                    </w:rPr>
                  </w:pPr>
                  <w:r>
                    <w:rPr>
                      <w:rFonts w:hint="eastAsia" w:ascii="仿宋" w:hAnsi="仿宋" w:eastAsia="仿宋" w:cs="宋体"/>
                      <w:b/>
                      <w:color w:val="000000"/>
                      <w:kern w:val="0"/>
                      <w:sz w:val="18"/>
                      <w:szCs w:val="18"/>
                      <w:u w:val="single" w:color="000000"/>
                    </w:rPr>
                    <w:t>励磁方式：无刷自励磁</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励磁机：永磁励磁机</w:t>
                  </w:r>
                </w:p>
              </w:tc>
            </w:tr>
            <w:tr>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u w:val="single" w:color="000000"/>
                    </w:rPr>
                  </w:pPr>
                  <w:r>
                    <w:rPr>
                      <w:rFonts w:hint="eastAsia" w:ascii="仿宋" w:hAnsi="仿宋" w:eastAsia="仿宋" w:cs="宋体"/>
                      <w:b/>
                      <w:color w:val="000000"/>
                      <w:kern w:val="0"/>
                      <w:sz w:val="18"/>
                      <w:szCs w:val="18"/>
                      <w:u w:val="single" w:color="000000"/>
                    </w:rPr>
                    <w:t>防护等级：</w:t>
                  </w:r>
                  <w:r>
                    <w:rPr>
                      <w:rFonts w:ascii="仿宋" w:hAnsi="仿宋" w:eastAsia="仿宋" w:cs="宋体"/>
                      <w:b/>
                      <w:color w:val="000000"/>
                      <w:kern w:val="0"/>
                      <w:sz w:val="18"/>
                      <w:szCs w:val="18"/>
                      <w:u w:val="single" w:color="000000"/>
                    </w:rPr>
                    <w:t xml:space="preserve"> IP23</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绝缘等级： H</w:t>
                  </w:r>
                </w:p>
              </w:tc>
            </w:tr>
            <w:tr>
              <w:tblPrEx>
                <w:tblCellMar>
                  <w:top w:w="0" w:type="dxa"/>
                  <w:left w:w="108" w:type="dxa"/>
                  <w:bottom w:w="0" w:type="dxa"/>
                  <w:right w:w="108" w:type="dxa"/>
                </w:tblCellMar>
              </w:tblPrEx>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u w:val="single" w:color="000000"/>
                    </w:rPr>
                  </w:pPr>
                  <w:r>
                    <w:rPr>
                      <w:rFonts w:hint="eastAsia" w:ascii="仿宋" w:hAnsi="仿宋" w:eastAsia="仿宋" w:cs="宋体"/>
                      <w:b/>
                      <w:color w:val="000000"/>
                      <w:kern w:val="0"/>
                      <w:sz w:val="18"/>
                      <w:szCs w:val="18"/>
                      <w:u w:val="single" w:color="000000"/>
                    </w:rPr>
                    <w:t>绕组材质：全铜</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定子绕组节距： 2/3</w:t>
                  </w:r>
                </w:p>
              </w:tc>
            </w:tr>
            <w:tr>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定子绕组匝数：</w:t>
                  </w:r>
                  <w:r>
                    <w:rPr>
                      <w:rFonts w:ascii="仿宋" w:hAnsi="仿宋" w:eastAsia="仿宋" w:cs="宋体"/>
                      <w:b/>
                      <w:color w:val="000000"/>
                      <w:kern w:val="0"/>
                      <w:sz w:val="18"/>
                      <w:szCs w:val="18"/>
                    </w:rPr>
                    <w:t xml:space="preserve"> 72</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绕组温度检测： RTD</w:t>
                  </w:r>
                </w:p>
              </w:tc>
            </w:tr>
            <w:tr>
              <w:tblPrEx>
                <w:tblCellMar>
                  <w:top w:w="0" w:type="dxa"/>
                  <w:left w:w="108" w:type="dxa"/>
                  <w:bottom w:w="0" w:type="dxa"/>
                  <w:right w:w="108" w:type="dxa"/>
                </w:tblCellMar>
              </w:tblPrEx>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绕组温度保护：热敏电阻及继电器</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绝缘加护：绕组整体环氧树脂浇注</w:t>
                  </w:r>
                </w:p>
              </w:tc>
            </w:tr>
            <w:tr>
              <w:tblPrEx>
                <w:tblCellMar>
                  <w:top w:w="0" w:type="dxa"/>
                  <w:left w:w="108" w:type="dxa"/>
                  <w:bottom w:w="0" w:type="dxa"/>
                  <w:right w:w="108" w:type="dxa"/>
                </w:tblCellMar>
              </w:tblPrEx>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定子：宝钢硅钢片铜质绝缘线绕组</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转子：宝钢硅钢片铜质绝缘线绕组</w:t>
                  </w:r>
                </w:p>
              </w:tc>
            </w:tr>
            <w:tr>
              <w:trPr>
                <w:trHeight w:val="38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轴承：</w:t>
                  </w:r>
                  <w:r>
                    <w:rPr>
                      <w:rFonts w:ascii="仿宋" w:hAnsi="仿宋" w:eastAsia="仿宋" w:cs="宋体"/>
                      <w:b/>
                      <w:color w:val="000000"/>
                      <w:kern w:val="0"/>
                      <w:sz w:val="18"/>
                      <w:szCs w:val="18"/>
                    </w:rPr>
                    <w:t xml:space="preserve"> 0.1 </w:t>
                  </w:r>
                  <w:r>
                    <w:rPr>
                      <w:rFonts w:hint="eastAsia" w:ascii="仿宋" w:hAnsi="仿宋" w:eastAsia="仿宋" w:cs="宋体"/>
                      <w:b/>
                      <w:color w:val="000000"/>
                      <w:kern w:val="0"/>
                      <w:sz w:val="18"/>
                      <w:szCs w:val="18"/>
                    </w:rPr>
                    <w:t>毫米高精度全密封免维护轴承</w:t>
                  </w:r>
                </w:p>
              </w:tc>
              <w:tc>
                <w:tcPr>
                  <w:tcW w:w="4880" w:type="dxa"/>
                  <w:tcBorders>
                    <w:top w:val="nil"/>
                    <w:left w:val="nil"/>
                    <w:bottom w:val="nil"/>
                    <w:right w:val="nil"/>
                  </w:tcBorders>
                  <w:shd w:val="clear" w:color="auto" w:fill="auto"/>
                  <w:noWrap/>
                  <w:vAlign w:val="bottom"/>
                </w:tcPr>
                <w:p>
                  <w:pPr>
                    <w:widowControl/>
                    <w:jc w:val="left"/>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防冷凝：加热器</w:t>
                  </w:r>
                </w:p>
              </w:tc>
            </w:tr>
            <w:tr>
              <w:tblPrEx>
                <w:tblCellMar>
                  <w:top w:w="0" w:type="dxa"/>
                  <w:left w:w="108" w:type="dxa"/>
                  <w:bottom w:w="0" w:type="dxa"/>
                  <w:right w:w="108" w:type="dxa"/>
                </w:tblCellMar>
              </w:tblPrEx>
              <w:trPr>
                <w:trHeight w:val="350" w:hRule="atLeast"/>
              </w:trPr>
              <w:tc>
                <w:tcPr>
                  <w:tcW w:w="5340" w:type="dxa"/>
                  <w:tcBorders>
                    <w:top w:val="nil"/>
                    <w:left w:val="nil"/>
                    <w:bottom w:val="nil"/>
                    <w:right w:val="nil"/>
                  </w:tcBorders>
                  <w:shd w:val="clear" w:color="auto" w:fill="auto"/>
                  <w:noWrap/>
                  <w:vAlign w:val="center"/>
                </w:tcPr>
                <w:p>
                  <w:pPr>
                    <w:widowControl/>
                    <w:textAlignment w:val="baseline"/>
                    <w:rPr>
                      <w:rFonts w:ascii="仿宋" w:hAnsi="仿宋" w:eastAsia="仿宋" w:cs="宋体"/>
                      <w:b/>
                      <w:color w:val="000000"/>
                      <w:kern w:val="0"/>
                      <w:sz w:val="18"/>
                      <w:szCs w:val="18"/>
                    </w:rPr>
                  </w:pPr>
                  <w:r>
                    <w:rPr>
                      <w:rFonts w:hint="eastAsia" w:ascii="仿宋" w:hAnsi="仿宋" w:eastAsia="仿宋" w:cs="宋体"/>
                      <w:b/>
                      <w:color w:val="000000"/>
                      <w:kern w:val="0"/>
                      <w:sz w:val="18"/>
                      <w:szCs w:val="18"/>
                    </w:rPr>
                    <w:t>接地：中性点接地</w:t>
                  </w:r>
                </w:p>
              </w:tc>
              <w:tc>
                <w:tcPr>
                  <w:tcW w:w="4880" w:type="dxa"/>
                  <w:tcBorders>
                    <w:top w:val="nil"/>
                    <w:left w:val="nil"/>
                    <w:bottom w:val="nil"/>
                    <w:right w:val="nil"/>
                  </w:tcBorders>
                  <w:shd w:val="clear" w:color="auto" w:fill="auto"/>
                  <w:noWrap/>
                  <w:vAlign w:val="bottom"/>
                </w:tcPr>
                <w:p>
                  <w:pPr>
                    <w:widowControl/>
                    <w:textAlignment w:val="baseline"/>
                    <w:rPr>
                      <w:rFonts w:ascii="仿宋" w:hAnsi="仿宋" w:eastAsia="仿宋" w:cs="宋体"/>
                      <w:b/>
                      <w:color w:val="000000"/>
                      <w:kern w:val="0"/>
                      <w:sz w:val="18"/>
                      <w:szCs w:val="18"/>
                    </w:rPr>
                  </w:pPr>
                </w:p>
              </w:tc>
            </w:tr>
          </w:tbl>
          <w:p>
            <w:pPr>
              <w:pStyle w:val="2"/>
            </w:pPr>
          </w:p>
          <w:p>
            <w:pPr>
              <w:textAlignment w:val="baseline"/>
              <w:rPr>
                <w:sz w:val="20"/>
              </w:rPr>
            </w:pPr>
          </w:p>
        </w:tc>
        <w:tc>
          <w:tcPr>
            <w:tcW w:w="1134"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台</w:t>
            </w:r>
          </w:p>
        </w:tc>
        <w:tc>
          <w:tcPr>
            <w:tcW w:w="1275"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ign w:val="center"/>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2</w:t>
            </w:r>
          </w:p>
        </w:tc>
        <w:tc>
          <w:tcPr>
            <w:tcW w:w="1701" w:type="dxa"/>
            <w:noWrap/>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自动控制器</w:t>
            </w:r>
          </w:p>
        </w:tc>
        <w:tc>
          <w:tcPr>
            <w:tcW w:w="9356" w:type="dxa"/>
            <w:noWrap/>
          </w:tcPr>
          <w:p>
            <w:pPr>
              <w:ind w:firstLine="73" w:firstLineChars="49"/>
              <w:textAlignment w:val="baseline"/>
              <w:rPr>
                <w:b/>
                <w:sz w:val="15"/>
                <w:szCs w:val="15"/>
              </w:rPr>
            </w:pPr>
            <w:r>
              <w:rPr>
                <w:rFonts w:hint="eastAsia"/>
                <w:b/>
                <w:sz w:val="15"/>
                <w:szCs w:val="15"/>
              </w:rPr>
              <w:t>自动控制器技术参数</w:t>
            </w:r>
          </w:p>
          <w:p>
            <w:pPr>
              <w:ind w:firstLine="73" w:firstLineChars="49"/>
              <w:textAlignment w:val="baseline"/>
              <w:rPr>
                <w:b/>
                <w:sz w:val="15"/>
                <w:szCs w:val="15"/>
              </w:rPr>
            </w:pPr>
            <w:r>
              <w:rPr>
                <w:rFonts w:hint="eastAsia" w:ascii="宋体" w:hAnsi="宋体" w:cs="Arial"/>
                <w:b/>
                <w:sz w:val="15"/>
                <w:szCs w:val="15"/>
                <w:u w:val="single" w:color="000000"/>
              </w:rPr>
              <w:t>国内知名品牌：众智6110</w:t>
            </w:r>
          </w:p>
          <w:p>
            <w:pPr>
              <w:textAlignment w:val="baseline"/>
              <w:rPr>
                <w:b/>
                <w:sz w:val="15"/>
                <w:szCs w:val="15"/>
                <w:u w:val="single"/>
              </w:rPr>
            </w:pPr>
            <w:r>
              <w:rPr>
                <w:rFonts w:hint="eastAsia"/>
                <w:b/>
                <w:sz w:val="15"/>
                <w:szCs w:val="15"/>
              </w:rPr>
              <w:t>显示模式：</w:t>
            </w:r>
            <w:r>
              <w:rPr>
                <w:rFonts w:hint="eastAsia"/>
                <w:b/>
                <w:sz w:val="15"/>
                <w:szCs w:val="15"/>
                <w:u w:val="single" w:color="000000"/>
              </w:rPr>
              <w:t>液晶显示</w:t>
            </w:r>
            <w:r>
              <w:rPr>
                <w:b/>
                <w:sz w:val="15"/>
                <w:szCs w:val="15"/>
                <w:u w:val="single" w:color="000000"/>
              </w:rPr>
              <w:t>,</w:t>
            </w:r>
            <w:r>
              <w:rPr>
                <w:rFonts w:hint="eastAsia"/>
                <w:b/>
                <w:sz w:val="15"/>
                <w:szCs w:val="15"/>
                <w:u w:val="single" w:color="000000"/>
              </w:rPr>
              <w:t>电脑监控，中文界面，手动和自动操作模式。</w:t>
            </w:r>
          </w:p>
          <w:p>
            <w:pPr>
              <w:textAlignment w:val="baseline"/>
              <w:rPr>
                <w:b/>
                <w:sz w:val="15"/>
                <w:szCs w:val="15"/>
                <w:u w:val="single"/>
              </w:rPr>
            </w:pPr>
            <w:r>
              <w:rPr>
                <w:rFonts w:hint="eastAsia"/>
                <w:b/>
                <w:sz w:val="15"/>
                <w:szCs w:val="15"/>
                <w:u w:val="single" w:color="000000"/>
              </w:rPr>
              <w:t>自动功能：自动启动、自动停机</w:t>
            </w:r>
            <w:r>
              <w:rPr>
                <w:b/>
                <w:sz w:val="15"/>
                <w:szCs w:val="15"/>
                <w:u w:val="single" w:color="000000"/>
              </w:rPr>
              <w:t>,</w:t>
            </w:r>
            <w:r>
              <w:rPr>
                <w:rFonts w:hint="eastAsia"/>
                <w:b/>
                <w:sz w:val="15"/>
                <w:szCs w:val="15"/>
                <w:u w:val="single" w:color="000000"/>
              </w:rPr>
              <w:t>自动保护，自动充电，自动计时。</w:t>
            </w:r>
          </w:p>
          <w:p>
            <w:pPr>
              <w:textAlignment w:val="baseline"/>
              <w:rPr>
                <w:b/>
                <w:sz w:val="15"/>
                <w:szCs w:val="15"/>
              </w:rPr>
            </w:pPr>
            <w:r>
              <w:rPr>
                <w:rFonts w:hint="eastAsia"/>
                <w:b/>
                <w:sz w:val="15"/>
                <w:szCs w:val="15"/>
              </w:rPr>
              <w:t>柴油机监控项目：油压、水温、发动机转速、电池电压、频率</w:t>
            </w:r>
          </w:p>
          <w:p>
            <w:pPr>
              <w:textAlignment w:val="baseline"/>
              <w:rPr>
                <w:b/>
                <w:sz w:val="15"/>
                <w:szCs w:val="15"/>
              </w:rPr>
            </w:pPr>
            <w:r>
              <w:rPr>
                <w:rFonts w:hint="eastAsia"/>
                <w:b/>
                <w:sz w:val="15"/>
                <w:szCs w:val="15"/>
              </w:rPr>
              <w:t>发电机监控项目：电压、电流、三相检测</w:t>
            </w:r>
          </w:p>
          <w:p>
            <w:pPr>
              <w:textAlignment w:val="baseline"/>
              <w:rPr>
                <w:b/>
                <w:sz w:val="15"/>
                <w:szCs w:val="15"/>
              </w:rPr>
            </w:pPr>
            <w:r>
              <w:rPr>
                <w:rFonts w:hint="eastAsia"/>
                <w:b/>
                <w:sz w:val="15"/>
                <w:szCs w:val="15"/>
              </w:rPr>
              <w:t>自动保护功能：低油压、超速、高水温、过电流等各项异常情况报警、跳闸、保护停机、紧急停车。</w:t>
            </w:r>
          </w:p>
          <w:p>
            <w:pPr>
              <w:spacing w:line="360" w:lineRule="auto"/>
              <w:jc w:val="left"/>
              <w:textAlignment w:val="baseline"/>
              <w:rPr>
                <w:b/>
                <w:sz w:val="15"/>
                <w:szCs w:val="15"/>
              </w:rPr>
            </w:pPr>
            <w:r>
              <w:rPr>
                <w:rFonts w:hint="eastAsia"/>
                <w:b/>
                <w:sz w:val="15"/>
                <w:szCs w:val="15"/>
              </w:rPr>
              <w:t>远程监控项目：机房显示屏显示柴油发电机组状态，启停次数、油压、水温、发动机转速、电池电压、频率、电压、电流、低油压、超速、高水温、过电流等各项异常情况报警、跳闸、保护停机、紧急停车。</w:t>
            </w:r>
          </w:p>
        </w:tc>
        <w:tc>
          <w:tcPr>
            <w:tcW w:w="1134"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个</w:t>
            </w:r>
          </w:p>
        </w:tc>
        <w:tc>
          <w:tcPr>
            <w:tcW w:w="1275"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3" w:type="dxa"/>
            <w:noWrap/>
            <w:vAlign w:val="center"/>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3</w:t>
            </w:r>
          </w:p>
        </w:tc>
        <w:tc>
          <w:tcPr>
            <w:tcW w:w="1701" w:type="dxa"/>
            <w:noWrap/>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随机附件</w:t>
            </w:r>
          </w:p>
        </w:tc>
        <w:tc>
          <w:tcPr>
            <w:tcW w:w="9356" w:type="dxa"/>
            <w:noWrap/>
          </w:tcPr>
          <w:p>
            <w:pPr>
              <w:textAlignment w:val="baseline"/>
              <w:rPr>
                <w:b/>
                <w:sz w:val="15"/>
                <w:szCs w:val="15"/>
              </w:rPr>
            </w:pPr>
            <w:r>
              <w:rPr>
                <w:rFonts w:hint="eastAsia"/>
                <w:b/>
                <w:sz w:val="15"/>
                <w:szCs w:val="15"/>
              </w:rPr>
              <w:t>输出开关：配备空气开关及更换连接电缆（国标YJV3*185+1电缆，从发电机到主配电柜之间连接线），空气开关容量为63</w:t>
            </w:r>
            <w:r>
              <w:rPr>
                <w:b/>
                <w:sz w:val="15"/>
                <w:szCs w:val="15"/>
              </w:rPr>
              <w:t>0A.</w:t>
            </w:r>
          </w:p>
          <w:p>
            <w:pPr>
              <w:spacing w:line="360" w:lineRule="auto"/>
              <w:jc w:val="left"/>
              <w:textAlignment w:val="baseline"/>
              <w:rPr>
                <w:rFonts w:ascii="宋体" w:hAnsi="宋体" w:cs="宋体"/>
                <w:b/>
                <w:bCs/>
                <w:color w:val="000000"/>
                <w:kern w:val="0"/>
                <w:sz w:val="28"/>
                <w:szCs w:val="28"/>
              </w:rPr>
            </w:pPr>
            <w:r>
              <w:rPr>
                <w:rFonts w:hint="eastAsia"/>
                <w:b/>
                <w:sz w:val="15"/>
                <w:szCs w:val="15"/>
              </w:rPr>
              <w:t>随机附件：</w:t>
            </w:r>
            <w:r>
              <w:rPr>
                <w:b/>
                <w:sz w:val="15"/>
                <w:szCs w:val="15"/>
              </w:rPr>
              <w:t>2</w:t>
            </w:r>
            <w:r>
              <w:rPr>
                <w:rFonts w:hint="eastAsia"/>
                <w:b/>
                <w:sz w:val="15"/>
                <w:szCs w:val="15"/>
              </w:rPr>
              <w:t>只蓄电池，</w:t>
            </w:r>
            <w:r>
              <w:rPr>
                <w:b/>
                <w:sz w:val="15"/>
                <w:szCs w:val="15"/>
              </w:rPr>
              <w:t>1</w:t>
            </w:r>
            <w:r>
              <w:rPr>
                <w:rFonts w:hint="eastAsia"/>
                <w:b/>
                <w:sz w:val="15"/>
                <w:szCs w:val="15"/>
              </w:rPr>
              <w:t>套电瓶线，1只消音器，</w:t>
            </w:r>
            <w:r>
              <w:rPr>
                <w:b/>
                <w:sz w:val="15"/>
                <w:szCs w:val="15"/>
              </w:rPr>
              <w:t>1</w:t>
            </w:r>
            <w:r>
              <w:rPr>
                <w:rFonts w:hint="eastAsia"/>
                <w:b/>
                <w:sz w:val="15"/>
                <w:szCs w:val="15"/>
              </w:rPr>
              <w:t>台排烟道，</w:t>
            </w:r>
            <w:r>
              <w:rPr>
                <w:b/>
                <w:sz w:val="15"/>
                <w:szCs w:val="15"/>
              </w:rPr>
              <w:t>1</w:t>
            </w:r>
            <w:r>
              <w:rPr>
                <w:rFonts w:hint="eastAsia"/>
                <w:b/>
                <w:sz w:val="15"/>
                <w:szCs w:val="15"/>
              </w:rPr>
              <w:t>套导风罩，1只波纹管，1只连接弯头，</w:t>
            </w:r>
            <w:r>
              <w:rPr>
                <w:b/>
                <w:sz w:val="15"/>
                <w:szCs w:val="15"/>
              </w:rPr>
              <w:t>1</w:t>
            </w:r>
            <w:r>
              <w:rPr>
                <w:rFonts w:hint="eastAsia"/>
                <w:b/>
                <w:sz w:val="15"/>
                <w:szCs w:val="15"/>
              </w:rPr>
              <w:t>套减震垫，</w:t>
            </w:r>
            <w:r>
              <w:rPr>
                <w:b/>
                <w:sz w:val="15"/>
                <w:szCs w:val="15"/>
              </w:rPr>
              <w:t>1</w:t>
            </w:r>
            <w:r>
              <w:rPr>
                <w:rFonts w:hint="eastAsia"/>
                <w:b/>
                <w:sz w:val="15"/>
                <w:szCs w:val="15"/>
              </w:rPr>
              <w:t>套输油管，</w:t>
            </w:r>
            <w:r>
              <w:rPr>
                <w:b/>
                <w:sz w:val="15"/>
                <w:szCs w:val="15"/>
              </w:rPr>
              <w:t>1</w:t>
            </w:r>
            <w:r>
              <w:rPr>
                <w:rFonts w:hint="eastAsia"/>
                <w:b/>
                <w:sz w:val="15"/>
                <w:szCs w:val="15"/>
              </w:rPr>
              <w:t>只6</w:t>
            </w:r>
            <w:r>
              <w:rPr>
                <w:b/>
                <w:sz w:val="15"/>
                <w:szCs w:val="15"/>
              </w:rPr>
              <w:t>00</w:t>
            </w:r>
            <w:r>
              <w:rPr>
                <w:rFonts w:hint="eastAsia"/>
                <w:b/>
                <w:sz w:val="15"/>
                <w:szCs w:val="15"/>
              </w:rPr>
              <w:t>升油箱，全车机油，全车防冻液，</w:t>
            </w:r>
            <w:r>
              <w:rPr>
                <w:b/>
                <w:sz w:val="15"/>
                <w:szCs w:val="15"/>
              </w:rPr>
              <w:t>1</w:t>
            </w:r>
            <w:r>
              <w:rPr>
                <w:rFonts w:hint="eastAsia"/>
                <w:b/>
                <w:sz w:val="15"/>
                <w:szCs w:val="15"/>
              </w:rPr>
              <w:t>套技术文件</w:t>
            </w:r>
          </w:p>
        </w:tc>
        <w:tc>
          <w:tcPr>
            <w:tcW w:w="1134"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项</w:t>
            </w:r>
          </w:p>
        </w:tc>
        <w:tc>
          <w:tcPr>
            <w:tcW w:w="1275"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923" w:type="dxa"/>
            <w:noWrap/>
            <w:vAlign w:val="center"/>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4</w:t>
            </w:r>
          </w:p>
        </w:tc>
        <w:tc>
          <w:tcPr>
            <w:tcW w:w="1701" w:type="dxa"/>
            <w:noWrap/>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机房基础设备维保服务</w:t>
            </w:r>
          </w:p>
        </w:tc>
        <w:tc>
          <w:tcPr>
            <w:tcW w:w="9356"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详见附件4</w:t>
            </w:r>
          </w:p>
        </w:tc>
        <w:tc>
          <w:tcPr>
            <w:tcW w:w="1134"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项</w:t>
            </w:r>
          </w:p>
        </w:tc>
        <w:tc>
          <w:tcPr>
            <w:tcW w:w="1275"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23" w:type="dxa"/>
            <w:noWrap/>
            <w:vAlign w:val="center"/>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5</w:t>
            </w:r>
          </w:p>
        </w:tc>
        <w:tc>
          <w:tcPr>
            <w:tcW w:w="1701" w:type="dxa"/>
            <w:noWrap/>
          </w:tcPr>
          <w:p>
            <w:pPr>
              <w:spacing w:line="360" w:lineRule="auto"/>
              <w:jc w:val="center"/>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工作室</w:t>
            </w:r>
            <w:r>
              <w:rPr>
                <w:rFonts w:ascii="宋体" w:hAnsi="宋体" w:cs="宋体"/>
                <w:b/>
                <w:bCs/>
                <w:color w:val="000000"/>
                <w:kern w:val="0"/>
                <w:sz w:val="28"/>
                <w:szCs w:val="28"/>
              </w:rPr>
              <w:t>空调安装及供电线路铺设</w:t>
            </w:r>
          </w:p>
        </w:tc>
        <w:tc>
          <w:tcPr>
            <w:tcW w:w="9356" w:type="dxa"/>
            <w:noWrap/>
          </w:tcPr>
          <w:p>
            <w:pPr>
              <w:spacing w:line="360" w:lineRule="auto"/>
              <w:jc w:val="left"/>
              <w:textAlignment w:val="baseline"/>
              <w:rPr>
                <w:rFonts w:ascii="仿宋" w:hAnsi="仿宋" w:eastAsia="仿宋" w:cs="宋体"/>
                <w:b/>
                <w:bCs/>
                <w:color w:val="000000"/>
                <w:kern w:val="0"/>
                <w:sz w:val="20"/>
                <w:szCs w:val="21"/>
              </w:rPr>
            </w:pPr>
            <w:r>
              <w:rPr>
                <w:rFonts w:hint="eastAsia" w:ascii="仿宋" w:hAnsi="仿宋" w:eastAsia="仿宋" w:cs="宋体"/>
                <w:b/>
                <w:bCs/>
                <w:color w:val="000000"/>
                <w:kern w:val="0"/>
                <w:szCs w:val="21"/>
              </w:rPr>
              <w:t>为</w:t>
            </w:r>
            <w:r>
              <w:rPr>
                <w:rFonts w:ascii="仿宋" w:hAnsi="仿宋" w:eastAsia="仿宋" w:cs="宋体"/>
                <w:b/>
                <w:bCs/>
                <w:color w:val="000000"/>
                <w:kern w:val="0"/>
                <w:szCs w:val="21"/>
              </w:rPr>
              <w:t>数据中心两</w:t>
            </w:r>
            <w:r>
              <w:rPr>
                <w:rFonts w:hint="eastAsia" w:ascii="仿宋" w:hAnsi="仿宋" w:eastAsia="仿宋" w:cs="宋体"/>
                <w:b/>
                <w:bCs/>
                <w:color w:val="000000"/>
                <w:kern w:val="0"/>
                <w:szCs w:val="21"/>
              </w:rPr>
              <w:t>间</w:t>
            </w:r>
            <w:r>
              <w:rPr>
                <w:rFonts w:ascii="仿宋" w:hAnsi="仿宋" w:eastAsia="仿宋" w:cs="宋体"/>
                <w:b/>
                <w:bCs/>
                <w:color w:val="000000"/>
                <w:kern w:val="0"/>
                <w:szCs w:val="21"/>
              </w:rPr>
              <w:t>值班工作</w:t>
            </w:r>
            <w:r>
              <w:rPr>
                <w:rFonts w:hint="eastAsia" w:ascii="仿宋" w:hAnsi="仿宋" w:eastAsia="仿宋" w:cs="宋体"/>
                <w:b/>
                <w:bCs/>
                <w:color w:val="000000"/>
                <w:kern w:val="0"/>
                <w:szCs w:val="21"/>
              </w:rPr>
              <w:t>室</w:t>
            </w:r>
            <w:r>
              <w:rPr>
                <w:rFonts w:ascii="仿宋" w:hAnsi="仿宋" w:eastAsia="仿宋" w:cs="宋体"/>
                <w:b/>
                <w:bCs/>
                <w:color w:val="000000"/>
                <w:kern w:val="0"/>
                <w:szCs w:val="21"/>
              </w:rPr>
              <w:t>安装</w:t>
            </w:r>
            <w:r>
              <w:rPr>
                <w:rFonts w:hint="eastAsia" w:ascii="仿宋" w:hAnsi="仿宋" w:eastAsia="仿宋" w:cs="宋体"/>
                <w:b/>
                <w:bCs/>
                <w:color w:val="000000"/>
                <w:kern w:val="0"/>
                <w:szCs w:val="21"/>
              </w:rPr>
              <w:t>5</w:t>
            </w:r>
            <w:r>
              <w:rPr>
                <w:rFonts w:ascii="仿宋" w:hAnsi="仿宋" w:eastAsia="仿宋" w:cs="宋体"/>
                <w:b/>
                <w:bCs/>
                <w:color w:val="000000"/>
                <w:kern w:val="0"/>
                <w:szCs w:val="21"/>
              </w:rPr>
              <w:t>P</w:t>
            </w:r>
            <w:r>
              <w:rPr>
                <w:rFonts w:hint="eastAsia" w:ascii="仿宋" w:hAnsi="仿宋" w:eastAsia="仿宋" w:cs="宋体"/>
                <w:b/>
                <w:bCs/>
                <w:color w:val="000000"/>
                <w:kern w:val="0"/>
                <w:szCs w:val="21"/>
              </w:rPr>
              <w:t>空调</w:t>
            </w:r>
            <w:r>
              <w:rPr>
                <w:rFonts w:ascii="仿宋" w:hAnsi="仿宋" w:eastAsia="仿宋" w:cs="宋体"/>
                <w:b/>
                <w:bCs/>
                <w:color w:val="000000"/>
                <w:kern w:val="0"/>
                <w:szCs w:val="21"/>
              </w:rPr>
              <w:t>一台（</w:t>
            </w:r>
            <w:r>
              <w:rPr>
                <w:rFonts w:hint="eastAsia" w:ascii="仿宋" w:hAnsi="仿宋" w:eastAsia="仿宋" w:cs="宋体"/>
                <w:b/>
                <w:bCs/>
                <w:color w:val="000000"/>
                <w:kern w:val="0"/>
                <w:szCs w:val="21"/>
              </w:rPr>
              <w:t>空调</w:t>
            </w:r>
            <w:r>
              <w:rPr>
                <w:rFonts w:ascii="仿宋" w:hAnsi="仿宋" w:eastAsia="仿宋" w:cs="宋体"/>
                <w:b/>
                <w:bCs/>
                <w:color w:val="000000"/>
                <w:kern w:val="0"/>
                <w:szCs w:val="21"/>
              </w:rPr>
              <w:t>已有）</w:t>
            </w:r>
            <w:r>
              <w:rPr>
                <w:rFonts w:hint="eastAsia" w:ascii="仿宋" w:hAnsi="仿宋" w:eastAsia="仿宋" w:cs="宋体"/>
                <w:b/>
                <w:bCs/>
                <w:color w:val="000000"/>
                <w:kern w:val="0"/>
                <w:szCs w:val="21"/>
              </w:rPr>
              <w:t>，包</w:t>
            </w:r>
            <w:r>
              <w:rPr>
                <w:rFonts w:ascii="仿宋" w:hAnsi="仿宋" w:eastAsia="仿宋" w:cs="宋体"/>
                <w:b/>
                <w:bCs/>
                <w:color w:val="000000"/>
                <w:kern w:val="0"/>
                <w:szCs w:val="21"/>
              </w:rPr>
              <w:t>备件耗材。</w:t>
            </w:r>
          </w:p>
          <w:p>
            <w:pPr>
              <w:pStyle w:val="2"/>
            </w:pPr>
            <w:r>
              <w:rPr>
                <w:rFonts w:hint="eastAsia"/>
              </w:rPr>
              <w:t>为</w:t>
            </w:r>
            <w:r>
              <w:t>数据中心新</w:t>
            </w:r>
            <w:r>
              <w:rPr>
                <w:rFonts w:hint="eastAsia"/>
              </w:rPr>
              <w:t>装</w:t>
            </w:r>
            <w:r>
              <w:t>空调设备各引入</w:t>
            </w:r>
            <w:r>
              <w:rPr>
                <w:rFonts w:hint="eastAsia"/>
              </w:rPr>
              <w:t>三相</w:t>
            </w:r>
            <w:r>
              <w:t>四线线路，共约</w:t>
            </w:r>
            <w:r>
              <w:rPr>
                <w:rFonts w:hint="eastAsia"/>
              </w:rPr>
              <w:t>150米（三厂</w:t>
            </w:r>
            <w:r>
              <w:t>电线，</w:t>
            </w:r>
            <w:r>
              <w:rPr>
                <w:rFonts w:hint="eastAsia"/>
              </w:rPr>
              <w:t>4*</w:t>
            </w:r>
            <w:r>
              <w:t>16mm^2</w:t>
            </w:r>
            <w:r>
              <w:rPr>
                <w:rFonts w:hint="eastAsia"/>
              </w:rPr>
              <w:t>）</w:t>
            </w:r>
            <w:r>
              <w:t>，</w:t>
            </w:r>
            <w:r>
              <w:rPr>
                <w:rFonts w:hint="eastAsia"/>
              </w:rPr>
              <w:t>配置</w:t>
            </w:r>
            <w:r>
              <w:t>前后</w:t>
            </w:r>
            <w:r>
              <w:rPr>
                <w:rFonts w:hint="eastAsia"/>
              </w:rPr>
              <w:t>端</w:t>
            </w:r>
            <w:r>
              <w:t>空气开关</w:t>
            </w:r>
            <w:r>
              <w:rPr>
                <w:rFonts w:hint="eastAsia"/>
              </w:rPr>
              <w:t>（50</w:t>
            </w:r>
            <w:r>
              <w:t>A</w:t>
            </w:r>
            <w:r>
              <w:rPr>
                <w:rFonts w:hint="eastAsia"/>
              </w:rPr>
              <w:t>）</w:t>
            </w:r>
            <w:r>
              <w:t>。</w:t>
            </w:r>
          </w:p>
        </w:tc>
        <w:tc>
          <w:tcPr>
            <w:tcW w:w="1134"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项</w:t>
            </w:r>
          </w:p>
        </w:tc>
        <w:tc>
          <w:tcPr>
            <w:tcW w:w="1275" w:type="dxa"/>
            <w:noWrap/>
          </w:tcPr>
          <w:p>
            <w:pPr>
              <w:spacing w:line="360" w:lineRule="auto"/>
              <w:jc w:val="left"/>
              <w:textAlignment w:val="baseline"/>
              <w:rPr>
                <w:rFonts w:ascii="宋体" w:hAnsi="宋体" w:cs="宋体"/>
                <w:b/>
                <w:bCs/>
                <w:color w:val="000000"/>
                <w:kern w:val="0"/>
                <w:sz w:val="28"/>
                <w:szCs w:val="28"/>
              </w:rPr>
            </w:pPr>
            <w:r>
              <w:rPr>
                <w:rFonts w:hint="eastAsia" w:ascii="宋体" w:hAnsi="宋体" w:cs="宋体"/>
                <w:b/>
                <w:bCs/>
                <w:color w:val="000000"/>
                <w:kern w:val="0"/>
                <w:sz w:val="28"/>
                <w:szCs w:val="28"/>
              </w:rPr>
              <w:t>1</w:t>
            </w:r>
          </w:p>
        </w:tc>
      </w:tr>
    </w:tbl>
    <w:p>
      <w:pPr>
        <w:spacing w:line="360" w:lineRule="auto"/>
        <w:jc w:val="left"/>
        <w:textAlignment w:val="baseline"/>
        <w:rPr>
          <w:rFonts w:ascii="宋体" w:hAnsi="宋体" w:cs="宋体"/>
          <w:b/>
          <w:bCs/>
          <w:sz w:val="28"/>
          <w:szCs w:val="28"/>
        </w:rPr>
        <w:sectPr>
          <w:headerReference r:id="rId5" w:type="default"/>
          <w:footerReference r:id="rId6" w:type="default"/>
          <w:pgSz w:w="16838" w:h="11906" w:orient="landscape"/>
          <w:pgMar w:top="1797" w:right="1440" w:bottom="1797" w:left="1440" w:header="851" w:footer="992" w:gutter="0"/>
          <w:cols w:space="720" w:num="1"/>
          <w:docGrid w:type="linesAndChars" w:linePitch="312" w:charSpace="0"/>
        </w:sectPr>
      </w:pPr>
    </w:p>
    <w:p>
      <w:pPr>
        <w:snapToGrid w:val="0"/>
        <w:spacing w:line="360" w:lineRule="auto"/>
        <w:textAlignment w:val="baseline"/>
        <w:rPr>
          <w:rFonts w:ascii="宋体" w:hAnsi="宋体" w:cs="宋体"/>
          <w:sz w:val="28"/>
          <w:szCs w:val="28"/>
        </w:rPr>
      </w:pPr>
      <w:r>
        <w:rPr>
          <w:rFonts w:hint="eastAsia" w:ascii="宋体" w:hAnsi="宋体" w:cs="宋体"/>
          <w:color w:val="000000"/>
          <w:kern w:val="0"/>
          <w:sz w:val="28"/>
          <w:szCs w:val="28"/>
        </w:rPr>
        <w:t xml:space="preserve">         </w:t>
      </w:r>
    </w:p>
    <w:p>
      <w:pPr>
        <w:snapToGrid w:val="0"/>
        <w:spacing w:line="360" w:lineRule="auto"/>
        <w:textAlignment w:val="baseline"/>
        <w:rPr>
          <w:rFonts w:cs="宋体"/>
          <w:szCs w:val="21"/>
        </w:rPr>
      </w:pPr>
      <w:r>
        <w:rPr>
          <w:rFonts w:hint="eastAsia" w:ascii="宋体" w:hAnsi="宋体" w:cs="宋体"/>
          <w:b/>
          <w:bCs/>
          <w:sz w:val="36"/>
          <w:szCs w:val="36"/>
        </w:rPr>
        <w:t xml:space="preserve"> </w:t>
      </w:r>
      <w:r>
        <w:rPr>
          <w:rFonts w:ascii="宋体" w:hAnsi="宋体" w:cs="宋体"/>
          <w:b/>
          <w:bCs/>
          <w:sz w:val="36"/>
          <w:szCs w:val="36"/>
        </w:rPr>
        <w:drawing>
          <wp:inline distT="0" distB="0" distL="0" distR="0">
            <wp:extent cx="5274310" cy="7461885"/>
            <wp:effectExtent l="19050" t="0" r="2540" b="0"/>
            <wp:docPr id="3" name="图片 2" descr="C:\Users\lenovo\Desktop\郑州大学图书馆数据中心后备电源改造及基础设备维保服务采购项目(1)_png\郑州大学图书馆数据中心后备电源改造及基础设备维保服务采购项目(1)_png\郑州大学图书馆数据中心后备电源改造及基础设备维保服务采购项目(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lenovo\Desktop\郑州大学图书馆数据中心后备电源改造及基础设备维保服务采购项目(1)_png\郑州大学图书馆数据中心后备电源改造及基础设备维保服务采购项目(1)_png\郑州大学图书馆数据中心后备电源改造及基础设备维保服务采购项目(1)_9.png"/>
                    <pic:cNvPicPr>
                      <a:picLocks noChangeAspect="1" noChangeArrowheads="1"/>
                    </pic:cNvPicPr>
                  </pic:nvPicPr>
                  <pic:blipFill>
                    <a:blip r:embed="rId10" cstate="print"/>
                    <a:srcRect/>
                    <a:stretch>
                      <a:fillRect/>
                    </a:stretch>
                  </pic:blipFill>
                  <pic:spPr>
                    <a:xfrm>
                      <a:off x="0" y="0"/>
                      <a:ext cx="5274310" cy="7461975"/>
                    </a:xfrm>
                    <a:prstGeom prst="rect">
                      <a:avLst/>
                    </a:prstGeom>
                    <a:noFill/>
                    <a:ln w="9525">
                      <a:noFill/>
                      <a:miter lim="800000"/>
                      <a:headEnd/>
                      <a:tailEnd/>
                    </a:ln>
                  </pic:spPr>
                </pic:pic>
              </a:graphicData>
            </a:graphic>
          </wp:inline>
        </w:drawing>
      </w:r>
    </w:p>
    <w:p>
      <w:pPr>
        <w:pStyle w:val="15"/>
        <w:spacing w:line="360" w:lineRule="auto"/>
        <w:ind w:firstLine="630" w:firstLineChars="300"/>
        <w:textAlignment w:val="baseline"/>
        <w:rPr>
          <w:rFonts w:cs="宋体"/>
          <w:szCs w:val="21"/>
        </w:rPr>
      </w:pPr>
      <w:r>
        <w:rPr>
          <w:rFonts w:cs="宋体"/>
          <w:szCs w:val="21"/>
        </w:rPr>
        <w:drawing>
          <wp:inline distT="0" distB="0" distL="0" distR="0">
            <wp:extent cx="5274310" cy="7461885"/>
            <wp:effectExtent l="19050" t="0" r="2540" b="0"/>
            <wp:docPr id="2" name="图片 1" descr="C:\Users\lenovo\Desktop\郑州大学图书馆数据中心后备电源改造及基础设备维保服务采购项目(1)_png\郑州大学图书馆数据中心后备电源改造及基础设备维保服务采购项目(1)_png\郑州大学图书馆数据中心后备电源改造及基础设备维保服务采购项目(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lenovo\Desktop\郑州大学图书馆数据中心后备电源改造及基础设备维保服务采购项目(1)_png\郑州大学图书馆数据中心后备电源改造及基础设备维保服务采购项目(1)_png\郑州大学图书馆数据中心后备电源改造及基础设备维保服务采购项目(1)_10.png"/>
                    <pic:cNvPicPr>
                      <a:picLocks noChangeAspect="1" noChangeArrowheads="1"/>
                    </pic:cNvPicPr>
                  </pic:nvPicPr>
                  <pic:blipFill>
                    <a:blip r:embed="rId11" cstate="print"/>
                    <a:srcRect/>
                    <a:stretch>
                      <a:fillRect/>
                    </a:stretch>
                  </pic:blipFill>
                  <pic:spPr>
                    <a:xfrm>
                      <a:off x="0" y="0"/>
                      <a:ext cx="5274310" cy="7461975"/>
                    </a:xfrm>
                    <a:prstGeom prst="rect">
                      <a:avLst/>
                    </a:prstGeom>
                    <a:noFill/>
                    <a:ln w="9525">
                      <a:noFill/>
                      <a:miter lim="800000"/>
                      <a:headEnd/>
                      <a:tailEnd/>
                    </a:ln>
                  </pic:spPr>
                </pic:pic>
              </a:graphicData>
            </a:graphic>
          </wp:inline>
        </w:drawing>
      </w:r>
    </w:p>
    <w:p>
      <w:pPr>
        <w:pStyle w:val="3"/>
        <w:ind w:firstLine="211" w:firstLineChars="100"/>
        <w:textAlignment w:val="baseline"/>
        <w:rPr>
          <w:rFonts w:cs="宋体"/>
          <w:sz w:val="21"/>
          <w:szCs w:val="21"/>
        </w:rPr>
      </w:pPr>
      <w:bookmarkStart w:id="0" w:name="_Toc28889"/>
    </w:p>
    <w:bookmarkEnd w:id="0"/>
    <w:p>
      <w:pPr>
        <w:pStyle w:val="2"/>
      </w:pPr>
    </w:p>
    <w:p/>
    <w:p>
      <w:pPr>
        <w:pStyle w:val="2"/>
      </w:pPr>
    </w:p>
    <w:p/>
    <w:p>
      <w:pPr>
        <w:pStyle w:val="2"/>
      </w:pPr>
    </w:p>
    <w:p>
      <w:pPr>
        <w:snapToGrid w:val="0"/>
        <w:spacing w:line="360" w:lineRule="auto"/>
        <w:textAlignment w:val="baseline"/>
        <w:rPr>
          <w:rFonts w:cs="宋体"/>
          <w:b/>
          <w:bCs/>
          <w:sz w:val="24"/>
        </w:rPr>
      </w:pPr>
      <w:r>
        <w:rPr>
          <w:rFonts w:hint="eastAsia" w:cs="宋体"/>
          <w:b/>
          <w:bCs/>
          <w:sz w:val="24"/>
        </w:rPr>
        <w:t>附件4：</w:t>
      </w:r>
    </w:p>
    <w:p>
      <w:pPr>
        <w:pStyle w:val="2"/>
      </w:pPr>
      <w:r>
        <w:rPr>
          <w:rFonts w:hint="eastAsia"/>
        </w:rPr>
        <w:t>机房基础设备维保服务</w:t>
      </w:r>
    </w:p>
    <w:p>
      <w:pPr>
        <w:textAlignment w:val="baseline"/>
        <w:rPr>
          <w:sz w:val="20"/>
          <w:szCs w:val="21"/>
        </w:rPr>
      </w:pPr>
    </w:p>
    <w:tbl>
      <w:tblPr>
        <w:tblStyle w:val="9"/>
        <w:tblW w:w="7250" w:type="dxa"/>
        <w:jc w:val="center"/>
        <w:tblLayout w:type="autofit"/>
        <w:tblCellMar>
          <w:top w:w="0" w:type="dxa"/>
          <w:left w:w="108" w:type="dxa"/>
          <w:bottom w:w="0" w:type="dxa"/>
          <w:right w:w="108" w:type="dxa"/>
        </w:tblCellMar>
      </w:tblPr>
      <w:tblGrid>
        <w:gridCol w:w="1080"/>
        <w:gridCol w:w="1634"/>
        <w:gridCol w:w="843"/>
        <w:gridCol w:w="763"/>
        <w:gridCol w:w="2930"/>
      </w:tblGrid>
      <w:tr>
        <w:tblPrEx>
          <w:tblCellMar>
            <w:top w:w="0" w:type="dxa"/>
            <w:left w:w="108" w:type="dxa"/>
            <w:bottom w:w="0" w:type="dxa"/>
            <w:right w:w="108" w:type="dxa"/>
          </w:tblCellMar>
        </w:tblPrEx>
        <w:trPr>
          <w:trHeight w:val="435" w:hRule="atLeast"/>
          <w:jc w:val="center"/>
        </w:trPr>
        <w:tc>
          <w:tcPr>
            <w:tcW w:w="1080" w:type="dxa"/>
            <w:tcBorders>
              <w:top w:val="single" w:color="auto" w:sz="8" w:space="0"/>
              <w:left w:val="single" w:color="auto" w:sz="8" w:space="0"/>
              <w:bottom w:val="single" w:color="auto" w:sz="8" w:space="0"/>
              <w:right w:val="single" w:color="auto" w:sz="8" w:space="0"/>
            </w:tcBorders>
            <w:shd w:val="clear" w:color="auto" w:fill="auto"/>
          </w:tcPr>
          <w:p>
            <w:pPr>
              <w:widowControl/>
              <w:jc w:val="center"/>
              <w:textAlignment w:val="baseline"/>
              <w:rPr>
                <w:rFonts w:cs="宋体"/>
                <w:b/>
                <w:bCs/>
                <w:color w:val="000000"/>
                <w:kern w:val="0"/>
                <w:sz w:val="20"/>
                <w:szCs w:val="21"/>
              </w:rPr>
            </w:pPr>
            <w:r>
              <w:rPr>
                <w:rFonts w:hint="eastAsia" w:cs="宋体"/>
                <w:b/>
                <w:bCs/>
                <w:color w:val="000000"/>
                <w:kern w:val="0"/>
                <w:szCs w:val="21"/>
              </w:rPr>
              <w:t>序号</w:t>
            </w:r>
          </w:p>
        </w:tc>
        <w:tc>
          <w:tcPr>
            <w:tcW w:w="1634" w:type="dxa"/>
            <w:tcBorders>
              <w:top w:val="single" w:color="auto" w:sz="8" w:space="0"/>
              <w:left w:val="nil"/>
              <w:bottom w:val="single" w:color="auto" w:sz="8" w:space="0"/>
              <w:right w:val="single" w:color="auto" w:sz="8" w:space="0"/>
            </w:tcBorders>
            <w:shd w:val="clear" w:color="auto" w:fill="auto"/>
          </w:tcPr>
          <w:p>
            <w:pPr>
              <w:widowControl/>
              <w:jc w:val="center"/>
              <w:textAlignment w:val="baseline"/>
              <w:rPr>
                <w:rFonts w:cs="宋体"/>
                <w:b/>
                <w:bCs/>
                <w:color w:val="000000"/>
                <w:kern w:val="0"/>
                <w:sz w:val="20"/>
                <w:szCs w:val="21"/>
              </w:rPr>
            </w:pPr>
            <w:r>
              <w:rPr>
                <w:rFonts w:hint="eastAsia" w:cs="宋体"/>
                <w:b/>
                <w:bCs/>
                <w:color w:val="000000"/>
                <w:kern w:val="0"/>
                <w:szCs w:val="21"/>
              </w:rPr>
              <w:t>设备名称及型号</w:t>
            </w:r>
          </w:p>
        </w:tc>
        <w:tc>
          <w:tcPr>
            <w:tcW w:w="843" w:type="dxa"/>
            <w:tcBorders>
              <w:top w:val="single" w:color="auto" w:sz="8" w:space="0"/>
              <w:left w:val="nil"/>
              <w:bottom w:val="single" w:color="auto" w:sz="8" w:space="0"/>
              <w:right w:val="single" w:color="auto" w:sz="8" w:space="0"/>
            </w:tcBorders>
            <w:shd w:val="clear" w:color="auto" w:fill="auto"/>
          </w:tcPr>
          <w:p>
            <w:pPr>
              <w:widowControl/>
              <w:jc w:val="center"/>
              <w:textAlignment w:val="baseline"/>
              <w:rPr>
                <w:rFonts w:cs="宋体"/>
                <w:b/>
                <w:bCs/>
                <w:color w:val="000000"/>
                <w:kern w:val="0"/>
                <w:sz w:val="20"/>
                <w:szCs w:val="21"/>
              </w:rPr>
            </w:pPr>
            <w:r>
              <w:rPr>
                <w:rFonts w:hint="eastAsia" w:cs="宋体"/>
                <w:b/>
                <w:bCs/>
                <w:color w:val="000000"/>
                <w:kern w:val="0"/>
                <w:szCs w:val="21"/>
              </w:rPr>
              <w:t>数量(台)</w:t>
            </w:r>
          </w:p>
        </w:tc>
        <w:tc>
          <w:tcPr>
            <w:tcW w:w="763" w:type="dxa"/>
            <w:tcBorders>
              <w:top w:val="single" w:color="auto" w:sz="8" w:space="0"/>
              <w:left w:val="nil"/>
              <w:bottom w:val="single" w:color="auto" w:sz="8" w:space="0"/>
              <w:right w:val="single" w:color="auto" w:sz="8" w:space="0"/>
            </w:tcBorders>
            <w:shd w:val="clear" w:color="auto" w:fill="auto"/>
          </w:tcPr>
          <w:p>
            <w:pPr>
              <w:widowControl/>
              <w:jc w:val="center"/>
              <w:textAlignment w:val="baseline"/>
              <w:rPr>
                <w:rFonts w:cs="宋体"/>
                <w:b/>
                <w:bCs/>
                <w:color w:val="000000"/>
                <w:kern w:val="0"/>
                <w:sz w:val="20"/>
                <w:szCs w:val="21"/>
              </w:rPr>
            </w:pPr>
            <w:r>
              <w:rPr>
                <w:rFonts w:hint="eastAsia" w:cs="宋体"/>
                <w:b/>
                <w:bCs/>
                <w:color w:val="000000"/>
                <w:kern w:val="0"/>
                <w:szCs w:val="21"/>
              </w:rPr>
              <w:t>服务年限</w:t>
            </w:r>
          </w:p>
        </w:tc>
        <w:tc>
          <w:tcPr>
            <w:tcW w:w="2930" w:type="dxa"/>
            <w:tcBorders>
              <w:top w:val="single" w:color="auto" w:sz="8" w:space="0"/>
              <w:left w:val="nil"/>
              <w:bottom w:val="single" w:color="auto" w:sz="8" w:space="0"/>
              <w:right w:val="single" w:color="auto" w:sz="8" w:space="0"/>
            </w:tcBorders>
            <w:shd w:val="clear" w:color="auto" w:fill="auto"/>
          </w:tcPr>
          <w:p>
            <w:pPr>
              <w:widowControl/>
              <w:jc w:val="center"/>
              <w:textAlignment w:val="baseline"/>
              <w:rPr>
                <w:rFonts w:cs="宋体"/>
                <w:b/>
                <w:bCs/>
                <w:color w:val="000000"/>
                <w:kern w:val="0"/>
                <w:sz w:val="20"/>
                <w:szCs w:val="21"/>
              </w:rPr>
            </w:pPr>
            <w:r>
              <w:rPr>
                <w:rFonts w:hint="eastAsia" w:cs="宋体"/>
                <w:b/>
                <w:bCs/>
                <w:color w:val="000000"/>
                <w:kern w:val="0"/>
                <w:szCs w:val="21"/>
              </w:rPr>
              <w:t>主要服务要求</w:t>
            </w:r>
          </w:p>
        </w:tc>
      </w:tr>
      <w:tr>
        <w:tblPrEx>
          <w:tblCellMar>
            <w:top w:w="0" w:type="dxa"/>
            <w:left w:w="108" w:type="dxa"/>
            <w:bottom w:w="0" w:type="dxa"/>
            <w:right w:w="108" w:type="dxa"/>
          </w:tblCellMar>
        </w:tblPrEx>
        <w:trPr>
          <w:trHeight w:val="43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textAlignment w:val="baseline"/>
              <w:rPr>
                <w:rFonts w:cs="宋体"/>
                <w:b/>
                <w:bCs/>
                <w:color w:val="000000"/>
                <w:kern w:val="0"/>
                <w:sz w:val="20"/>
                <w:szCs w:val="21"/>
              </w:rPr>
            </w:pPr>
            <w:r>
              <w:rPr>
                <w:rFonts w:hint="eastAsia" w:cs="宋体"/>
                <w:b/>
                <w:bCs/>
                <w:color w:val="000000"/>
                <w:kern w:val="0"/>
                <w:szCs w:val="21"/>
              </w:rPr>
              <w:t>1、</w:t>
            </w:r>
          </w:p>
        </w:tc>
        <w:tc>
          <w:tcPr>
            <w:tcW w:w="1634" w:type="dxa"/>
            <w:tcBorders>
              <w:top w:val="nil"/>
              <w:left w:val="nil"/>
              <w:bottom w:val="single" w:color="auto" w:sz="8" w:space="0"/>
              <w:right w:val="single" w:color="auto" w:sz="8" w:space="0"/>
            </w:tcBorders>
            <w:shd w:val="clear" w:color="auto" w:fill="auto"/>
            <w:vAlign w:val="center"/>
          </w:tcPr>
          <w:p>
            <w:pPr>
              <w:widowControl/>
              <w:jc w:val="left"/>
              <w:textAlignment w:val="baseline"/>
              <w:rPr>
                <w:rFonts w:cs="宋体"/>
                <w:color w:val="000000"/>
                <w:kern w:val="0"/>
                <w:sz w:val="20"/>
                <w:szCs w:val="21"/>
              </w:rPr>
            </w:pPr>
            <w:r>
              <w:rPr>
                <w:rFonts w:hint="eastAsia" w:cs="宋体"/>
                <w:color w:val="000000"/>
                <w:kern w:val="0"/>
                <w:szCs w:val="21"/>
              </w:rPr>
              <w:t>艾默生精密空调CRV025</w:t>
            </w:r>
          </w:p>
        </w:tc>
        <w:tc>
          <w:tcPr>
            <w:tcW w:w="84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2</w:t>
            </w:r>
          </w:p>
        </w:tc>
        <w:tc>
          <w:tcPr>
            <w:tcW w:w="76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3</w:t>
            </w:r>
          </w:p>
        </w:tc>
        <w:tc>
          <w:tcPr>
            <w:tcW w:w="2930" w:type="dxa"/>
            <w:tcBorders>
              <w:top w:val="nil"/>
              <w:left w:val="nil"/>
              <w:bottom w:val="single" w:color="auto" w:sz="8" w:space="0"/>
              <w:right w:val="single" w:color="auto" w:sz="8" w:space="0"/>
            </w:tcBorders>
            <w:shd w:val="clear" w:color="auto" w:fill="auto"/>
          </w:tcPr>
          <w:p>
            <w:pPr>
              <w:widowControl/>
              <w:jc w:val="center"/>
              <w:textAlignment w:val="baseline"/>
              <w:rPr>
                <w:rFonts w:cs="宋体"/>
                <w:color w:val="000000"/>
                <w:kern w:val="0"/>
                <w:sz w:val="20"/>
                <w:szCs w:val="21"/>
              </w:rPr>
            </w:pPr>
            <w:r>
              <w:rPr>
                <w:rFonts w:hint="eastAsia" w:cs="宋体"/>
                <w:color w:val="000000"/>
                <w:kern w:val="0"/>
                <w:szCs w:val="21"/>
              </w:rPr>
              <w:t>包备件包耗材+4次/年巡检</w:t>
            </w:r>
          </w:p>
        </w:tc>
      </w:tr>
      <w:tr>
        <w:tblPrEx>
          <w:tblCellMar>
            <w:top w:w="0" w:type="dxa"/>
            <w:left w:w="108" w:type="dxa"/>
            <w:bottom w:w="0" w:type="dxa"/>
            <w:right w:w="108" w:type="dxa"/>
          </w:tblCellMar>
        </w:tblPrEx>
        <w:trPr>
          <w:trHeight w:val="354"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textAlignment w:val="baseline"/>
              <w:rPr>
                <w:rFonts w:cs="宋体"/>
                <w:b/>
                <w:bCs/>
                <w:color w:val="000000"/>
                <w:kern w:val="0"/>
                <w:sz w:val="20"/>
                <w:szCs w:val="21"/>
              </w:rPr>
            </w:pPr>
            <w:r>
              <w:rPr>
                <w:rFonts w:hint="eastAsia" w:cs="宋体"/>
                <w:b/>
                <w:bCs/>
                <w:color w:val="000000"/>
                <w:kern w:val="0"/>
                <w:szCs w:val="21"/>
              </w:rPr>
              <w:t>2、</w:t>
            </w:r>
          </w:p>
        </w:tc>
        <w:tc>
          <w:tcPr>
            <w:tcW w:w="1634" w:type="dxa"/>
            <w:tcBorders>
              <w:top w:val="nil"/>
              <w:left w:val="nil"/>
              <w:bottom w:val="single" w:color="auto" w:sz="8" w:space="0"/>
              <w:right w:val="single" w:color="auto" w:sz="8" w:space="0"/>
            </w:tcBorders>
            <w:shd w:val="clear" w:color="auto" w:fill="auto"/>
            <w:vAlign w:val="center"/>
          </w:tcPr>
          <w:p>
            <w:pPr>
              <w:widowControl/>
              <w:jc w:val="left"/>
              <w:textAlignment w:val="baseline"/>
              <w:rPr>
                <w:rFonts w:cs="宋体"/>
                <w:color w:val="000000"/>
                <w:kern w:val="0"/>
                <w:sz w:val="20"/>
                <w:szCs w:val="21"/>
              </w:rPr>
            </w:pPr>
            <w:r>
              <w:rPr>
                <w:rFonts w:hint="eastAsia" w:cs="宋体"/>
                <w:color w:val="000000"/>
                <w:kern w:val="0"/>
                <w:szCs w:val="21"/>
              </w:rPr>
              <w:t>艾默生模块系列ups主机</w:t>
            </w:r>
          </w:p>
        </w:tc>
        <w:tc>
          <w:tcPr>
            <w:tcW w:w="84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2</w:t>
            </w:r>
          </w:p>
        </w:tc>
        <w:tc>
          <w:tcPr>
            <w:tcW w:w="76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3</w:t>
            </w:r>
          </w:p>
        </w:tc>
        <w:tc>
          <w:tcPr>
            <w:tcW w:w="2930" w:type="dxa"/>
            <w:tcBorders>
              <w:top w:val="nil"/>
              <w:left w:val="nil"/>
              <w:bottom w:val="single" w:color="auto" w:sz="8" w:space="0"/>
              <w:right w:val="single" w:color="auto" w:sz="8" w:space="0"/>
            </w:tcBorders>
            <w:shd w:val="clear" w:color="auto" w:fill="auto"/>
          </w:tcPr>
          <w:p>
            <w:pPr>
              <w:widowControl/>
              <w:jc w:val="center"/>
              <w:textAlignment w:val="baseline"/>
              <w:rPr>
                <w:rFonts w:cs="宋体"/>
                <w:color w:val="000000"/>
                <w:kern w:val="0"/>
                <w:sz w:val="20"/>
                <w:szCs w:val="21"/>
              </w:rPr>
            </w:pPr>
            <w:r>
              <w:rPr>
                <w:rFonts w:hint="eastAsia" w:cs="宋体"/>
                <w:color w:val="000000"/>
                <w:kern w:val="0"/>
                <w:szCs w:val="21"/>
              </w:rPr>
              <w:t>包备件包耗材包模块+4次巡检/年+2次放电/年</w:t>
            </w:r>
          </w:p>
        </w:tc>
      </w:tr>
      <w:tr>
        <w:tblPrEx>
          <w:tblCellMar>
            <w:top w:w="0" w:type="dxa"/>
            <w:left w:w="108" w:type="dxa"/>
            <w:bottom w:w="0" w:type="dxa"/>
            <w:right w:w="108" w:type="dxa"/>
          </w:tblCellMar>
        </w:tblPrEx>
        <w:trPr>
          <w:trHeight w:val="43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textAlignment w:val="baseline"/>
              <w:rPr>
                <w:rFonts w:cs="宋体"/>
                <w:b/>
                <w:bCs/>
                <w:color w:val="000000"/>
                <w:kern w:val="0"/>
                <w:sz w:val="20"/>
                <w:szCs w:val="21"/>
              </w:rPr>
            </w:pPr>
            <w:r>
              <w:rPr>
                <w:rFonts w:hint="eastAsia" w:cs="宋体"/>
                <w:b/>
                <w:bCs/>
                <w:color w:val="000000"/>
                <w:kern w:val="0"/>
                <w:szCs w:val="21"/>
              </w:rPr>
              <w:t>4、</w:t>
            </w:r>
          </w:p>
        </w:tc>
        <w:tc>
          <w:tcPr>
            <w:tcW w:w="1634" w:type="dxa"/>
            <w:tcBorders>
              <w:top w:val="nil"/>
              <w:left w:val="nil"/>
              <w:bottom w:val="single" w:color="auto" w:sz="8" w:space="0"/>
              <w:right w:val="single" w:color="auto" w:sz="8" w:space="0"/>
            </w:tcBorders>
            <w:shd w:val="clear" w:color="auto" w:fill="auto"/>
            <w:vAlign w:val="center"/>
          </w:tcPr>
          <w:p>
            <w:pPr>
              <w:widowControl/>
              <w:jc w:val="left"/>
              <w:textAlignment w:val="baseline"/>
              <w:rPr>
                <w:rFonts w:cs="宋体"/>
                <w:color w:val="000000"/>
                <w:kern w:val="0"/>
                <w:sz w:val="20"/>
                <w:szCs w:val="21"/>
              </w:rPr>
            </w:pPr>
            <w:r>
              <w:rPr>
                <w:rFonts w:hint="eastAsia" w:cs="宋体"/>
                <w:color w:val="000000"/>
                <w:kern w:val="0"/>
                <w:szCs w:val="21"/>
              </w:rPr>
              <w:t>艾默生P2040</w:t>
            </w:r>
          </w:p>
        </w:tc>
        <w:tc>
          <w:tcPr>
            <w:tcW w:w="84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1</w:t>
            </w:r>
          </w:p>
        </w:tc>
        <w:tc>
          <w:tcPr>
            <w:tcW w:w="76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3</w:t>
            </w:r>
          </w:p>
        </w:tc>
        <w:tc>
          <w:tcPr>
            <w:tcW w:w="2930"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包备件包耗材+4次/年巡检</w:t>
            </w:r>
          </w:p>
        </w:tc>
      </w:tr>
      <w:tr>
        <w:tblPrEx>
          <w:tblCellMar>
            <w:top w:w="0" w:type="dxa"/>
            <w:left w:w="108" w:type="dxa"/>
            <w:bottom w:w="0" w:type="dxa"/>
            <w:right w:w="108" w:type="dxa"/>
          </w:tblCellMar>
        </w:tblPrEx>
        <w:trPr>
          <w:trHeight w:val="43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textAlignment w:val="baseline"/>
              <w:rPr>
                <w:rFonts w:cs="宋体"/>
                <w:b/>
                <w:bCs/>
                <w:color w:val="000000"/>
                <w:kern w:val="0"/>
                <w:sz w:val="20"/>
                <w:szCs w:val="21"/>
              </w:rPr>
            </w:pPr>
            <w:r>
              <w:rPr>
                <w:rFonts w:hint="eastAsia" w:cs="宋体"/>
                <w:b/>
                <w:bCs/>
                <w:color w:val="000000"/>
                <w:kern w:val="0"/>
                <w:szCs w:val="21"/>
              </w:rPr>
              <w:t>5、</w:t>
            </w:r>
          </w:p>
        </w:tc>
        <w:tc>
          <w:tcPr>
            <w:tcW w:w="1634" w:type="dxa"/>
            <w:tcBorders>
              <w:top w:val="nil"/>
              <w:left w:val="nil"/>
              <w:bottom w:val="single" w:color="auto" w:sz="8" w:space="0"/>
              <w:right w:val="single" w:color="auto" w:sz="8" w:space="0"/>
            </w:tcBorders>
            <w:shd w:val="clear" w:color="auto" w:fill="auto"/>
            <w:vAlign w:val="center"/>
          </w:tcPr>
          <w:p>
            <w:pPr>
              <w:widowControl/>
              <w:jc w:val="left"/>
              <w:textAlignment w:val="baseline"/>
              <w:rPr>
                <w:rFonts w:cs="宋体"/>
                <w:color w:val="000000"/>
                <w:kern w:val="0"/>
                <w:sz w:val="20"/>
                <w:szCs w:val="21"/>
              </w:rPr>
            </w:pPr>
            <w:r>
              <w:rPr>
                <w:rFonts w:hint="eastAsia" w:cs="宋体"/>
                <w:color w:val="000000"/>
                <w:kern w:val="0"/>
                <w:szCs w:val="21"/>
              </w:rPr>
              <w:t>艾默生列头柜</w:t>
            </w:r>
          </w:p>
        </w:tc>
        <w:tc>
          <w:tcPr>
            <w:tcW w:w="84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2</w:t>
            </w:r>
          </w:p>
        </w:tc>
        <w:tc>
          <w:tcPr>
            <w:tcW w:w="76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3</w:t>
            </w:r>
          </w:p>
        </w:tc>
        <w:tc>
          <w:tcPr>
            <w:tcW w:w="2930"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包备件包耗材+4次/年巡检</w:t>
            </w:r>
          </w:p>
        </w:tc>
      </w:tr>
      <w:tr>
        <w:tblPrEx>
          <w:tblCellMar>
            <w:top w:w="0" w:type="dxa"/>
            <w:left w:w="108" w:type="dxa"/>
            <w:bottom w:w="0" w:type="dxa"/>
            <w:right w:w="108" w:type="dxa"/>
          </w:tblCellMar>
        </w:tblPrEx>
        <w:trPr>
          <w:trHeight w:val="435" w:hRule="atLeast"/>
          <w:jc w:val="center"/>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jc w:val="center"/>
              <w:textAlignment w:val="baseline"/>
              <w:rPr>
                <w:rFonts w:cs="宋体"/>
                <w:b/>
                <w:bCs/>
                <w:color w:val="000000"/>
                <w:kern w:val="0"/>
                <w:sz w:val="20"/>
                <w:szCs w:val="21"/>
              </w:rPr>
            </w:pPr>
            <w:r>
              <w:rPr>
                <w:rFonts w:hint="eastAsia" w:cs="宋体"/>
                <w:b/>
                <w:bCs/>
                <w:color w:val="000000"/>
                <w:kern w:val="0"/>
                <w:szCs w:val="21"/>
              </w:rPr>
              <w:t>6、</w:t>
            </w:r>
          </w:p>
        </w:tc>
        <w:tc>
          <w:tcPr>
            <w:tcW w:w="1634" w:type="dxa"/>
            <w:tcBorders>
              <w:top w:val="nil"/>
              <w:left w:val="nil"/>
              <w:bottom w:val="single" w:color="auto" w:sz="8" w:space="0"/>
              <w:right w:val="single" w:color="auto" w:sz="8" w:space="0"/>
            </w:tcBorders>
            <w:shd w:val="clear" w:color="auto" w:fill="auto"/>
            <w:vAlign w:val="center"/>
          </w:tcPr>
          <w:p>
            <w:pPr>
              <w:widowControl/>
              <w:jc w:val="left"/>
              <w:textAlignment w:val="baseline"/>
              <w:rPr>
                <w:rFonts w:cs="宋体"/>
                <w:color w:val="000000"/>
                <w:kern w:val="0"/>
                <w:sz w:val="20"/>
                <w:szCs w:val="21"/>
              </w:rPr>
            </w:pPr>
            <w:r>
              <w:rPr>
                <w:rFonts w:hint="eastAsia" w:cs="宋体"/>
                <w:color w:val="000000"/>
                <w:kern w:val="0"/>
                <w:szCs w:val="21"/>
              </w:rPr>
              <w:t>动环监控主机及采集器</w:t>
            </w:r>
          </w:p>
        </w:tc>
        <w:tc>
          <w:tcPr>
            <w:tcW w:w="84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1</w:t>
            </w:r>
          </w:p>
        </w:tc>
        <w:tc>
          <w:tcPr>
            <w:tcW w:w="763"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3</w:t>
            </w:r>
          </w:p>
        </w:tc>
        <w:tc>
          <w:tcPr>
            <w:tcW w:w="2930" w:type="dxa"/>
            <w:tcBorders>
              <w:top w:val="nil"/>
              <w:left w:val="nil"/>
              <w:bottom w:val="single" w:color="auto" w:sz="8" w:space="0"/>
              <w:right w:val="single" w:color="auto" w:sz="8" w:space="0"/>
            </w:tcBorders>
            <w:shd w:val="clear" w:color="auto" w:fill="auto"/>
            <w:vAlign w:val="center"/>
          </w:tcPr>
          <w:p>
            <w:pPr>
              <w:widowControl/>
              <w:jc w:val="center"/>
              <w:textAlignment w:val="baseline"/>
              <w:rPr>
                <w:rFonts w:cs="宋体"/>
                <w:color w:val="000000"/>
                <w:kern w:val="0"/>
                <w:sz w:val="20"/>
                <w:szCs w:val="21"/>
              </w:rPr>
            </w:pPr>
            <w:r>
              <w:rPr>
                <w:rFonts w:hint="eastAsia" w:cs="宋体"/>
                <w:color w:val="000000"/>
                <w:kern w:val="0"/>
                <w:szCs w:val="21"/>
              </w:rPr>
              <w:t>包备件包耗材+4次/年巡检</w:t>
            </w:r>
          </w:p>
        </w:tc>
      </w:tr>
    </w:tbl>
    <w:p>
      <w:pPr>
        <w:numPr>
          <w:ilvl w:val="0"/>
          <w:numId w:val="3"/>
        </w:numPr>
        <w:tabs>
          <w:tab w:val="left" w:pos="4200"/>
        </w:tabs>
        <w:spacing w:line="360" w:lineRule="auto"/>
        <w:textAlignment w:val="baseline"/>
        <w:rPr>
          <w:rFonts w:cs="宋体"/>
          <w:b/>
          <w:sz w:val="20"/>
          <w:szCs w:val="21"/>
        </w:rPr>
      </w:pPr>
      <w:r>
        <w:rPr>
          <w:rFonts w:hint="eastAsia" w:cs="宋体"/>
          <w:b/>
          <w:szCs w:val="21"/>
        </w:rPr>
        <w:t>电话故障诊断</w:t>
      </w:r>
    </w:p>
    <w:p>
      <w:pPr>
        <w:spacing w:line="360" w:lineRule="auto"/>
        <w:ind w:firstLine="420" w:firstLineChars="200"/>
        <w:jc w:val="left"/>
        <w:textAlignment w:val="baseline"/>
        <w:rPr>
          <w:rFonts w:cs="宋体"/>
          <w:sz w:val="20"/>
          <w:szCs w:val="21"/>
        </w:rPr>
      </w:pPr>
      <w:r>
        <w:rPr>
          <w:rFonts w:hint="eastAsia" w:cs="宋体"/>
          <w:szCs w:val="21"/>
        </w:rPr>
        <w:t>电话故障诊断是指用户在使用维谛</w:t>
      </w:r>
      <w:r>
        <w:rPr>
          <w:rFonts w:cs="宋体"/>
          <w:szCs w:val="21"/>
        </w:rPr>
        <w:t>技术有限公司（</w:t>
      </w:r>
      <w:r>
        <w:rPr>
          <w:rFonts w:hint="eastAsia" w:cs="宋体"/>
          <w:szCs w:val="21"/>
        </w:rPr>
        <w:t>艾默生公司）产品时遇到疑难问题或者设备出现不正常状态时，通过电话寻求技术支持和帮助，在确认用户的服务请求后，将安排技术人员在规定的时间（即响应时间）内通过电话帮助用户进行故障定位，并提出解决方案或应急措施，最终指导用户解决疑难或排除设备故障。提供每周7天、每天24小时的服务热线进行电话故障诊断。</w:t>
      </w:r>
    </w:p>
    <w:p>
      <w:pPr>
        <w:numPr>
          <w:ilvl w:val="0"/>
          <w:numId w:val="3"/>
        </w:numPr>
        <w:tabs>
          <w:tab w:val="left" w:pos="4200"/>
        </w:tabs>
        <w:spacing w:line="360" w:lineRule="auto"/>
        <w:textAlignment w:val="baseline"/>
        <w:rPr>
          <w:rFonts w:cs="宋体"/>
          <w:b/>
          <w:sz w:val="20"/>
          <w:szCs w:val="21"/>
        </w:rPr>
      </w:pPr>
      <w:r>
        <w:rPr>
          <w:rFonts w:hint="eastAsia" w:cs="宋体"/>
          <w:b/>
          <w:szCs w:val="21"/>
        </w:rPr>
        <w:t>现场故障排除</w:t>
      </w:r>
    </w:p>
    <w:p>
      <w:pPr>
        <w:pStyle w:val="17"/>
        <w:spacing w:line="360" w:lineRule="auto"/>
        <w:textAlignment w:val="baseline"/>
        <w:rPr>
          <w:rFonts w:cs="宋体"/>
          <w:sz w:val="21"/>
          <w:szCs w:val="21"/>
        </w:rPr>
      </w:pPr>
      <w:r>
        <w:rPr>
          <w:rFonts w:hint="eastAsia" w:cs="宋体"/>
          <w:sz w:val="21"/>
          <w:szCs w:val="21"/>
        </w:rPr>
        <w:t>现场故障排除是指用户在使用产品时遇到疑难问题或者设备出现不正常状态，通过电话寻求技术支持和帮助，在确认用户的服务请求后，如果不能通过电话故障诊断解决设备故障，在经过双方商议确定需要进行现场故障排除后，将派遣经验丰富的工程师赴现场分析故障原因，制定故障排除方案，并最终排除故障。</w:t>
      </w:r>
    </w:p>
    <w:p>
      <w:pPr>
        <w:numPr>
          <w:ilvl w:val="0"/>
          <w:numId w:val="3"/>
        </w:numPr>
        <w:tabs>
          <w:tab w:val="left" w:pos="4200"/>
        </w:tabs>
        <w:spacing w:line="360" w:lineRule="auto"/>
        <w:textAlignment w:val="baseline"/>
        <w:rPr>
          <w:rFonts w:cs="宋体"/>
          <w:b/>
          <w:sz w:val="20"/>
          <w:szCs w:val="21"/>
        </w:rPr>
      </w:pPr>
      <w:r>
        <w:rPr>
          <w:rFonts w:hint="eastAsia" w:cs="宋体"/>
          <w:b/>
          <w:szCs w:val="21"/>
        </w:rPr>
        <w:t>现场培训</w:t>
      </w:r>
    </w:p>
    <w:p>
      <w:pPr>
        <w:tabs>
          <w:tab w:val="left" w:pos="4200"/>
        </w:tabs>
        <w:spacing w:line="360" w:lineRule="auto"/>
        <w:ind w:left="480"/>
        <w:textAlignment w:val="baseline"/>
        <w:rPr>
          <w:rFonts w:cs="宋体"/>
          <w:sz w:val="20"/>
          <w:szCs w:val="21"/>
        </w:rPr>
      </w:pPr>
      <w:r>
        <w:rPr>
          <w:rFonts w:hint="eastAsia" w:cs="宋体"/>
          <w:szCs w:val="21"/>
        </w:rPr>
        <w:t>为了提高用户维护人员排除故障的能力，使其能够独立排除类似本次的故障，工程师在进行完现场故障排除后，针对本次故障出现的原因和故障排除方法对用户进行现场培训。</w:t>
      </w:r>
    </w:p>
    <w:p>
      <w:pPr>
        <w:numPr>
          <w:ilvl w:val="0"/>
          <w:numId w:val="4"/>
        </w:numPr>
        <w:tabs>
          <w:tab w:val="left" w:pos="4200"/>
        </w:tabs>
        <w:spacing w:line="360" w:lineRule="auto"/>
        <w:textAlignment w:val="baseline"/>
        <w:rPr>
          <w:rFonts w:cs="宋体"/>
          <w:b/>
          <w:bCs/>
          <w:sz w:val="20"/>
          <w:szCs w:val="21"/>
        </w:rPr>
      </w:pPr>
      <w:r>
        <w:rPr>
          <w:rFonts w:hint="eastAsia" w:cs="宋体"/>
          <w:b/>
          <w:bCs/>
          <w:szCs w:val="21"/>
        </w:rPr>
        <w:t>所有服务均会提交相应的服务报告给甲方。</w:t>
      </w:r>
    </w:p>
    <w:p>
      <w:pPr>
        <w:tabs>
          <w:tab w:val="left" w:pos="4200"/>
        </w:tabs>
        <w:spacing w:line="360" w:lineRule="auto"/>
        <w:textAlignment w:val="baseline"/>
        <w:rPr>
          <w:rFonts w:cs="宋体"/>
          <w:b/>
          <w:bCs/>
          <w:sz w:val="20"/>
          <w:szCs w:val="21"/>
        </w:rPr>
      </w:pPr>
    </w:p>
    <w:p>
      <w:pPr>
        <w:pStyle w:val="2"/>
      </w:pPr>
    </w:p>
    <w:p>
      <w:pPr>
        <w:tabs>
          <w:tab w:val="left" w:pos="4200"/>
        </w:tabs>
        <w:spacing w:line="360" w:lineRule="auto"/>
        <w:textAlignment w:val="baseline"/>
        <w:rPr>
          <w:rFonts w:cs="宋体"/>
          <w:b/>
          <w:bCs/>
          <w:sz w:val="20"/>
          <w:szCs w:val="21"/>
        </w:rPr>
      </w:pPr>
    </w:p>
    <w:p>
      <w:pPr>
        <w:pStyle w:val="2"/>
      </w:pPr>
    </w:p>
    <w:p>
      <w:pPr>
        <w:tabs>
          <w:tab w:val="left" w:pos="4200"/>
        </w:tabs>
        <w:spacing w:line="360" w:lineRule="auto"/>
        <w:ind w:left="480"/>
        <w:textAlignment w:val="baseline"/>
        <w:rPr>
          <w:rFonts w:cs="宋体"/>
          <w:sz w:val="20"/>
          <w:szCs w:val="21"/>
        </w:rPr>
      </w:pP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40005</wp:posOffset>
                </wp:positionV>
                <wp:extent cx="4297680" cy="365760"/>
                <wp:effectExtent l="4445" t="5080" r="98425" b="86360"/>
                <wp:wrapNone/>
                <wp:docPr id="7" name="文本框 4"/>
                <wp:cNvGraphicFramePr/>
                <a:graphic xmlns:a="http://schemas.openxmlformats.org/drawingml/2006/main">
                  <a:graphicData uri="http://schemas.microsoft.com/office/word/2010/wordprocessingShape">
                    <wps:wsp>
                      <wps:cNvSpPr txBox="1"/>
                      <wps:spPr>
                        <a:xfrm>
                          <a:off x="0" y="0"/>
                          <a:ext cx="4297680" cy="36576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outerShdw>
                        </a:effectLst>
                      </wps:spPr>
                      <wps:txbx>
                        <w:txbxContent>
                          <w:p>
                            <w:pPr>
                              <w:spacing w:line="0" w:lineRule="atLeast"/>
                              <w:rPr>
                                <w:rFonts w:ascii="宋体" w:hAnsi="宋体"/>
                                <w:b/>
                                <w:sz w:val="36"/>
                                <w14:shadow w14:blurRad="50800" w14:dist="38100" w14:dir="2700000" w14:sx="100000" w14:sy="100000" w14:kx="0" w14:ky="0" w14:algn="tl">
                                  <w14:srgbClr w14:val="000000">
                                    <w14:alpha w14:val="60000"/>
                                  </w14:srgbClr>
                                </w14:shadow>
                              </w:rPr>
                            </w:pPr>
                            <w:r>
                              <w:rPr>
                                <w:rFonts w:hint="eastAsia" w:ascii="宋体" w:hAnsi="宋体"/>
                                <w:b/>
                                <w:sz w:val="36"/>
                                <w14:shadow w14:blurRad="50800" w14:dist="38100" w14:dir="2700000" w14:sx="100000" w14:sy="100000" w14:kx="0" w14:ky="0" w14:algn="tl">
                                  <w14:srgbClr w14:val="000000">
                                    <w14:alpha w14:val="60000"/>
                                  </w14:srgbClr>
                                </w14:shadow>
                              </w:rPr>
                              <w:t>空调维保巡检工作内容</w:t>
                            </w:r>
                          </w:p>
                        </w:txbxContent>
                      </wps:txbx>
                      <wps:bodyPr upright="1"/>
                    </wps:wsp>
                  </a:graphicData>
                </a:graphic>
              </wp:anchor>
            </w:drawing>
          </mc:Choice>
          <mc:Fallback>
            <w:pict>
              <v:shape id="文本框 4" o:spid="_x0000_s1026" o:spt="202" type="#_x0000_t202" style="position:absolute;left:0pt;margin-left:0pt;margin-top:3.15pt;height:28.8pt;width:338.4pt;z-index:251661312;mso-width-relative:page;mso-height-relative:page;" fillcolor="#FFFFFF" filled="t" stroked="t" coordsize="21600,21600" o:gfxdata="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U23RNIAAAAFAQAADwAAAAAAAAABACAA&#10;AAAiAAAAZHJzL2Rvd25yZXYueG1sUEsBAhQAFAAAAAgAh07iQA9qF9ZMAgAAvQQAAA4AAAAAAAAA&#10;AQAgAAAAIQEAAGRycy9lMm9Eb2MueG1sUEsFBgAAAAAGAAYAWQEAAN8FAAAAAA==&#10;">
                <v:fill on="t" focussize="0,0"/>
                <v:stroke color="#000000" joinstyle="miter"/>
                <v:imagedata o:title=""/>
                <o:lock v:ext="edit" aspectratio="f"/>
                <v:shadow on="t" color="#808080" offset="6pt,6pt" origin="0f,0f" matrix="65536f,0f,0f,65536f"/>
                <v:textbox>
                  <w:txbxContent>
                    <w:p>
                      <w:pPr>
                        <w:spacing w:line="0" w:lineRule="atLeast"/>
                        <w:rPr>
                          <w:rFonts w:ascii="宋体" w:hAnsi="宋体"/>
                          <w:b/>
                          <w:sz w:val="36"/>
                          <w14:shadow w14:blurRad="50800" w14:dist="38100" w14:dir="2700000" w14:sx="100000" w14:sy="100000" w14:kx="0" w14:ky="0" w14:algn="tl">
                            <w14:srgbClr w14:val="000000">
                              <w14:alpha w14:val="60000"/>
                            </w14:srgbClr>
                          </w14:shadow>
                        </w:rPr>
                      </w:pPr>
                      <w:r>
                        <w:rPr>
                          <w:rFonts w:hint="eastAsia" w:ascii="宋体" w:hAnsi="宋体"/>
                          <w:b/>
                          <w:sz w:val="36"/>
                          <w14:shadow w14:blurRad="50800" w14:dist="38100" w14:dir="2700000" w14:sx="100000" w14:sy="100000" w14:kx="0" w14:ky="0" w14:algn="tl">
                            <w14:srgbClr w14:val="000000">
                              <w14:alpha w14:val="60000"/>
                            </w14:srgbClr>
                          </w14:shadow>
                        </w:rPr>
                        <w:t>空调维保巡检工作内容</w:t>
                      </w:r>
                    </w:p>
                  </w:txbxContent>
                </v:textbox>
              </v:shape>
            </w:pict>
          </mc:Fallback>
        </mc:AlternateContent>
      </w:r>
    </w:p>
    <w:p>
      <w:pPr>
        <w:tabs>
          <w:tab w:val="left" w:pos="4200"/>
        </w:tabs>
        <w:spacing w:line="360" w:lineRule="auto"/>
        <w:ind w:left="480"/>
        <w:textAlignment w:val="baseline"/>
        <w:rPr>
          <w:rFonts w:cs="宋体"/>
          <w:sz w:val="20"/>
          <w:szCs w:val="21"/>
        </w:rPr>
      </w:pPr>
    </w:p>
    <w:p>
      <w:pPr>
        <w:numPr>
          <w:ilvl w:val="0"/>
          <w:numId w:val="5"/>
        </w:numPr>
        <w:spacing w:line="360" w:lineRule="auto"/>
        <w:textAlignment w:val="baseline"/>
        <w:rPr>
          <w:rFonts w:cs="宋体"/>
          <w:sz w:val="20"/>
          <w:szCs w:val="21"/>
        </w:rPr>
      </w:pPr>
      <w:r>
        <w:rPr>
          <w:rFonts w:hint="eastAsia" w:cs="宋体"/>
          <w:szCs w:val="21"/>
        </w:rPr>
        <w:t>过滤器</w:t>
      </w:r>
    </w:p>
    <w:p>
      <w:pPr>
        <w:spacing w:line="360" w:lineRule="auto"/>
        <w:textAlignment w:val="baseline"/>
        <w:rPr>
          <w:rFonts w:cs="宋体"/>
          <w:sz w:val="20"/>
          <w:szCs w:val="21"/>
        </w:rPr>
      </w:pPr>
      <w:r>
        <w:rPr>
          <w:rFonts w:hint="eastAsia" w:cs="宋体"/>
          <w:szCs w:val="21"/>
        </w:rPr>
        <w:t>1) 检测空气滤网气流是否通畅 ( 报告是否要更换滤网)</w:t>
      </w:r>
    </w:p>
    <w:p>
      <w:pPr>
        <w:spacing w:line="360" w:lineRule="auto"/>
        <w:textAlignment w:val="baseline"/>
        <w:rPr>
          <w:rFonts w:cs="宋体"/>
          <w:b/>
          <w:sz w:val="20"/>
          <w:szCs w:val="21"/>
          <w:u w:val="single"/>
        </w:rPr>
      </w:pPr>
      <w:r>
        <w:rPr>
          <w:rFonts w:hint="eastAsia" w:cs="宋体"/>
          <w:szCs w:val="21"/>
        </w:rPr>
        <w:t>2) 检查过滤器开关是否有动作</w:t>
      </w:r>
    </w:p>
    <w:p>
      <w:pPr>
        <w:numPr>
          <w:ilvl w:val="0"/>
          <w:numId w:val="5"/>
        </w:numPr>
        <w:spacing w:line="360" w:lineRule="auto"/>
        <w:textAlignment w:val="baseline"/>
        <w:rPr>
          <w:rFonts w:cs="宋体"/>
          <w:sz w:val="20"/>
          <w:szCs w:val="21"/>
        </w:rPr>
      </w:pPr>
      <w:r>
        <w:rPr>
          <w:rFonts w:hint="eastAsia" w:cs="宋体"/>
          <w:szCs w:val="21"/>
        </w:rPr>
        <w:t>主风机</w:t>
      </w:r>
    </w:p>
    <w:p>
      <w:pPr>
        <w:numPr>
          <w:ilvl w:val="0"/>
          <w:numId w:val="6"/>
        </w:numPr>
        <w:spacing w:line="360" w:lineRule="auto"/>
        <w:textAlignment w:val="baseline"/>
        <w:rPr>
          <w:rFonts w:cs="宋体"/>
          <w:sz w:val="20"/>
          <w:szCs w:val="21"/>
        </w:rPr>
      </w:pPr>
      <w:r>
        <w:rPr>
          <w:rFonts w:hint="eastAsia" w:cs="宋体"/>
          <w:szCs w:val="21"/>
        </w:rPr>
        <w:t>检查并调整皮带轮和电机的装配，检查是否牢固和正确</w:t>
      </w:r>
    </w:p>
    <w:p>
      <w:pPr>
        <w:numPr>
          <w:ilvl w:val="0"/>
          <w:numId w:val="6"/>
        </w:numPr>
        <w:spacing w:line="360" w:lineRule="auto"/>
        <w:textAlignment w:val="baseline"/>
        <w:rPr>
          <w:rFonts w:cs="宋体"/>
          <w:sz w:val="20"/>
          <w:szCs w:val="21"/>
        </w:rPr>
      </w:pPr>
      <w:r>
        <w:rPr>
          <w:rFonts w:hint="eastAsia" w:cs="宋体"/>
          <w:szCs w:val="21"/>
        </w:rPr>
        <w:t>检查并调整皮带松紧程度和状况</w:t>
      </w:r>
    </w:p>
    <w:p>
      <w:pPr>
        <w:numPr>
          <w:ilvl w:val="0"/>
          <w:numId w:val="6"/>
        </w:numPr>
        <w:spacing w:line="360" w:lineRule="auto"/>
        <w:textAlignment w:val="baseline"/>
        <w:rPr>
          <w:rFonts w:cs="宋体"/>
          <w:sz w:val="20"/>
          <w:szCs w:val="21"/>
        </w:rPr>
      </w:pPr>
      <w:r>
        <w:rPr>
          <w:rFonts w:hint="eastAsia" w:cs="宋体"/>
          <w:szCs w:val="21"/>
        </w:rPr>
        <w:t>检查风机皮带轮与风机电机皮带轮是否在一平衡线上</w:t>
      </w:r>
    </w:p>
    <w:p>
      <w:pPr>
        <w:numPr>
          <w:ilvl w:val="0"/>
          <w:numId w:val="6"/>
        </w:numPr>
        <w:spacing w:line="360" w:lineRule="auto"/>
        <w:textAlignment w:val="baseline"/>
        <w:rPr>
          <w:rFonts w:cs="宋体"/>
          <w:sz w:val="20"/>
          <w:szCs w:val="21"/>
        </w:rPr>
      </w:pPr>
      <w:r>
        <w:rPr>
          <w:rFonts w:hint="eastAsia" w:cs="宋体"/>
          <w:szCs w:val="21"/>
        </w:rPr>
        <w:t>检查风机轴承是否流畅,有否噪音和过大的震动.</w:t>
      </w:r>
    </w:p>
    <w:p>
      <w:pPr>
        <w:numPr>
          <w:ilvl w:val="0"/>
          <w:numId w:val="6"/>
        </w:numPr>
        <w:spacing w:line="360" w:lineRule="auto"/>
        <w:textAlignment w:val="baseline"/>
        <w:rPr>
          <w:rFonts w:cs="宋体"/>
          <w:sz w:val="20"/>
          <w:szCs w:val="21"/>
          <w:u w:val="single"/>
        </w:rPr>
      </w:pPr>
      <w:r>
        <w:rPr>
          <w:rFonts w:hint="eastAsia" w:cs="宋体"/>
          <w:szCs w:val="21"/>
        </w:rPr>
        <w:t>检查风机电流</w:t>
      </w:r>
    </w:p>
    <w:p>
      <w:pPr>
        <w:numPr>
          <w:ilvl w:val="0"/>
          <w:numId w:val="5"/>
        </w:numPr>
        <w:spacing w:line="360" w:lineRule="auto"/>
        <w:textAlignment w:val="baseline"/>
        <w:rPr>
          <w:rFonts w:cs="宋体"/>
          <w:sz w:val="20"/>
          <w:szCs w:val="21"/>
        </w:rPr>
      </w:pPr>
      <w:r>
        <w:rPr>
          <w:rFonts w:hint="eastAsia" w:cs="宋体"/>
          <w:szCs w:val="21"/>
        </w:rPr>
        <w:t>压缩机</w:t>
      </w:r>
    </w:p>
    <w:p>
      <w:pPr>
        <w:numPr>
          <w:ilvl w:val="0"/>
          <w:numId w:val="7"/>
        </w:numPr>
        <w:spacing w:line="360" w:lineRule="auto"/>
        <w:textAlignment w:val="baseline"/>
        <w:rPr>
          <w:rFonts w:cs="宋体"/>
          <w:sz w:val="20"/>
          <w:szCs w:val="21"/>
        </w:rPr>
      </w:pPr>
      <w:r>
        <w:rPr>
          <w:rFonts w:hint="eastAsia" w:cs="宋体"/>
          <w:szCs w:val="21"/>
        </w:rPr>
        <w:t>检查是否有漏油及油位</w:t>
      </w:r>
    </w:p>
    <w:p>
      <w:pPr>
        <w:numPr>
          <w:ilvl w:val="0"/>
          <w:numId w:val="7"/>
        </w:numPr>
        <w:spacing w:line="360" w:lineRule="auto"/>
        <w:textAlignment w:val="baseline"/>
        <w:rPr>
          <w:rFonts w:cs="宋体"/>
          <w:sz w:val="20"/>
          <w:szCs w:val="21"/>
        </w:rPr>
      </w:pPr>
      <w:r>
        <w:rPr>
          <w:rFonts w:hint="eastAsia" w:cs="宋体"/>
          <w:szCs w:val="21"/>
        </w:rPr>
        <w:t>检查压缩机电流</w:t>
      </w:r>
    </w:p>
    <w:p>
      <w:pPr>
        <w:numPr>
          <w:ilvl w:val="0"/>
          <w:numId w:val="7"/>
        </w:numPr>
        <w:spacing w:line="360" w:lineRule="auto"/>
        <w:textAlignment w:val="baseline"/>
        <w:rPr>
          <w:rFonts w:cs="宋体"/>
          <w:sz w:val="20"/>
          <w:szCs w:val="21"/>
        </w:rPr>
      </w:pPr>
      <w:r>
        <w:rPr>
          <w:rFonts w:hint="eastAsia" w:cs="宋体"/>
          <w:szCs w:val="21"/>
        </w:rPr>
        <w:t>检查压缩机运转声音和机身温度（运转中）是否正常</w:t>
      </w:r>
    </w:p>
    <w:p>
      <w:pPr>
        <w:numPr>
          <w:ilvl w:val="0"/>
          <w:numId w:val="7"/>
        </w:numPr>
        <w:spacing w:line="360" w:lineRule="auto"/>
        <w:textAlignment w:val="baseline"/>
        <w:rPr>
          <w:rFonts w:cs="宋体"/>
          <w:sz w:val="20"/>
          <w:szCs w:val="21"/>
        </w:rPr>
      </w:pPr>
      <w:r>
        <w:rPr>
          <w:rFonts w:hint="eastAsia" w:cs="宋体"/>
          <w:szCs w:val="21"/>
        </w:rPr>
        <w:t>检测压缩机高低压传感器的工作参数</w:t>
      </w:r>
    </w:p>
    <w:p>
      <w:pPr>
        <w:numPr>
          <w:ilvl w:val="0"/>
          <w:numId w:val="5"/>
        </w:numPr>
        <w:spacing w:line="360" w:lineRule="auto"/>
        <w:textAlignment w:val="baseline"/>
        <w:rPr>
          <w:rFonts w:cs="宋体"/>
          <w:sz w:val="20"/>
          <w:szCs w:val="21"/>
        </w:rPr>
      </w:pPr>
      <w:r>
        <w:rPr>
          <w:rFonts w:hint="eastAsia" w:cs="宋体"/>
          <w:szCs w:val="21"/>
        </w:rPr>
        <w:t>风冷凝器</w:t>
      </w:r>
    </w:p>
    <w:p>
      <w:pPr>
        <w:numPr>
          <w:ilvl w:val="0"/>
          <w:numId w:val="8"/>
        </w:numPr>
        <w:spacing w:line="360" w:lineRule="auto"/>
        <w:textAlignment w:val="baseline"/>
        <w:rPr>
          <w:rFonts w:cs="宋体"/>
          <w:sz w:val="20"/>
          <w:szCs w:val="21"/>
        </w:rPr>
      </w:pPr>
      <w:r>
        <w:rPr>
          <w:rFonts w:hint="eastAsia" w:cs="宋体"/>
          <w:szCs w:val="21"/>
        </w:rPr>
        <w:t>检查风扇绕组，测量风扇电流</w:t>
      </w:r>
    </w:p>
    <w:p>
      <w:pPr>
        <w:numPr>
          <w:ilvl w:val="0"/>
          <w:numId w:val="8"/>
        </w:numPr>
        <w:spacing w:line="360" w:lineRule="auto"/>
        <w:textAlignment w:val="baseline"/>
        <w:rPr>
          <w:rFonts w:cs="宋体"/>
          <w:sz w:val="20"/>
          <w:szCs w:val="21"/>
        </w:rPr>
      </w:pPr>
      <w:r>
        <w:rPr>
          <w:rFonts w:hint="eastAsia" w:cs="宋体"/>
          <w:szCs w:val="21"/>
        </w:rPr>
        <w:t>检查风扇是否紧固，轴承工作状态是否正常</w:t>
      </w:r>
    </w:p>
    <w:p>
      <w:pPr>
        <w:numPr>
          <w:ilvl w:val="0"/>
          <w:numId w:val="8"/>
        </w:numPr>
        <w:spacing w:line="360" w:lineRule="auto"/>
        <w:textAlignment w:val="baseline"/>
        <w:rPr>
          <w:rFonts w:cs="宋体"/>
          <w:sz w:val="20"/>
          <w:szCs w:val="21"/>
        </w:rPr>
      </w:pPr>
      <w:r>
        <w:rPr>
          <w:rFonts w:hint="eastAsia" w:cs="宋体"/>
          <w:szCs w:val="21"/>
        </w:rPr>
        <w:t>检查清洁状况</w:t>
      </w:r>
    </w:p>
    <w:p>
      <w:pPr>
        <w:numPr>
          <w:ilvl w:val="0"/>
          <w:numId w:val="8"/>
        </w:numPr>
        <w:spacing w:line="360" w:lineRule="auto"/>
        <w:textAlignment w:val="baseline"/>
        <w:rPr>
          <w:rFonts w:cs="宋体"/>
          <w:sz w:val="20"/>
          <w:szCs w:val="21"/>
        </w:rPr>
      </w:pPr>
      <w:r>
        <w:rPr>
          <w:rFonts w:hint="eastAsia" w:cs="宋体"/>
          <w:szCs w:val="21"/>
        </w:rPr>
        <w:t>检查调整控制板及温度开关工作状态</w:t>
      </w:r>
    </w:p>
    <w:p>
      <w:pPr>
        <w:numPr>
          <w:ilvl w:val="0"/>
          <w:numId w:val="8"/>
        </w:numPr>
        <w:spacing w:line="360" w:lineRule="auto"/>
        <w:textAlignment w:val="baseline"/>
        <w:rPr>
          <w:rFonts w:cs="宋体"/>
          <w:sz w:val="20"/>
          <w:szCs w:val="21"/>
          <w:u w:val="single"/>
        </w:rPr>
      </w:pPr>
      <w:r>
        <w:rPr>
          <w:rFonts w:hint="eastAsia" w:cs="宋体"/>
          <w:szCs w:val="21"/>
        </w:rPr>
        <w:t>检查风扇电流</w:t>
      </w:r>
    </w:p>
    <w:p>
      <w:pPr>
        <w:numPr>
          <w:ilvl w:val="0"/>
          <w:numId w:val="5"/>
        </w:numPr>
        <w:spacing w:line="360" w:lineRule="auto"/>
        <w:textAlignment w:val="baseline"/>
        <w:rPr>
          <w:rFonts w:cs="宋体"/>
          <w:sz w:val="20"/>
          <w:szCs w:val="21"/>
        </w:rPr>
      </w:pPr>
      <w:r>
        <w:rPr>
          <w:rFonts w:hint="eastAsia" w:cs="宋体"/>
          <w:szCs w:val="21"/>
        </w:rPr>
        <w:t>加湿器</w:t>
      </w:r>
    </w:p>
    <w:p>
      <w:pPr>
        <w:numPr>
          <w:ilvl w:val="0"/>
          <w:numId w:val="9"/>
        </w:numPr>
        <w:spacing w:line="360" w:lineRule="auto"/>
        <w:textAlignment w:val="baseline"/>
        <w:rPr>
          <w:rFonts w:cs="宋体"/>
          <w:sz w:val="20"/>
          <w:szCs w:val="21"/>
        </w:rPr>
      </w:pPr>
      <w:r>
        <w:rPr>
          <w:rFonts w:hint="eastAsia" w:cs="宋体"/>
          <w:szCs w:val="21"/>
        </w:rPr>
        <w:t>检查水盘排水管是否被堵塞</w:t>
      </w:r>
    </w:p>
    <w:p>
      <w:pPr>
        <w:numPr>
          <w:ilvl w:val="0"/>
          <w:numId w:val="9"/>
        </w:numPr>
        <w:spacing w:line="360" w:lineRule="auto"/>
        <w:textAlignment w:val="baseline"/>
        <w:rPr>
          <w:rFonts w:cs="宋体"/>
          <w:sz w:val="20"/>
          <w:szCs w:val="21"/>
          <w:u w:val="single"/>
        </w:rPr>
      </w:pPr>
      <w:r>
        <w:rPr>
          <w:rFonts w:hint="eastAsia" w:cs="宋体"/>
          <w:szCs w:val="21"/>
          <w:u w:val="single" w:color="000000"/>
        </w:rPr>
        <w:t>检查加湿器是否有水垢，需要情况下除垢，必要时更换加湿器。</w:t>
      </w:r>
    </w:p>
    <w:p>
      <w:pPr>
        <w:numPr>
          <w:ilvl w:val="0"/>
          <w:numId w:val="9"/>
        </w:numPr>
        <w:spacing w:line="360" w:lineRule="auto"/>
        <w:textAlignment w:val="baseline"/>
        <w:rPr>
          <w:rFonts w:cs="宋体"/>
          <w:sz w:val="20"/>
          <w:szCs w:val="21"/>
        </w:rPr>
      </w:pPr>
      <w:r>
        <w:rPr>
          <w:rFonts w:hint="eastAsia" w:cs="宋体"/>
          <w:szCs w:val="21"/>
        </w:rPr>
        <w:t>检查进水流量是否适当</w:t>
      </w:r>
    </w:p>
    <w:p>
      <w:pPr>
        <w:numPr>
          <w:ilvl w:val="0"/>
          <w:numId w:val="9"/>
        </w:numPr>
        <w:spacing w:line="360" w:lineRule="auto"/>
        <w:textAlignment w:val="baseline"/>
        <w:rPr>
          <w:rFonts w:cs="宋体"/>
          <w:sz w:val="20"/>
          <w:szCs w:val="21"/>
          <w:u w:val="single"/>
        </w:rPr>
      </w:pPr>
      <w:r>
        <w:rPr>
          <w:rFonts w:hint="eastAsia" w:cs="宋体"/>
          <w:szCs w:val="21"/>
        </w:rPr>
        <w:t>检查加湿器电流</w:t>
      </w:r>
    </w:p>
    <w:p>
      <w:pPr>
        <w:numPr>
          <w:ilvl w:val="0"/>
          <w:numId w:val="5"/>
        </w:numPr>
        <w:spacing w:line="360" w:lineRule="auto"/>
        <w:textAlignment w:val="baseline"/>
        <w:rPr>
          <w:rFonts w:cs="宋体"/>
          <w:sz w:val="20"/>
          <w:szCs w:val="21"/>
        </w:rPr>
      </w:pPr>
      <w:r>
        <w:rPr>
          <w:rFonts w:hint="eastAsia" w:cs="宋体"/>
          <w:szCs w:val="21"/>
        </w:rPr>
        <w:t>制冷循环部分</w:t>
      </w:r>
    </w:p>
    <w:p>
      <w:pPr>
        <w:numPr>
          <w:ilvl w:val="0"/>
          <w:numId w:val="10"/>
        </w:numPr>
        <w:spacing w:line="360" w:lineRule="auto"/>
        <w:textAlignment w:val="baseline"/>
        <w:rPr>
          <w:rFonts w:cs="宋体"/>
          <w:sz w:val="20"/>
          <w:szCs w:val="21"/>
        </w:rPr>
      </w:pPr>
      <w:r>
        <w:rPr>
          <w:rFonts w:hint="eastAsia" w:cs="宋体"/>
          <w:szCs w:val="21"/>
        </w:rPr>
        <w:t>检查制冷管路是否有泄漏</w:t>
      </w:r>
    </w:p>
    <w:p>
      <w:pPr>
        <w:numPr>
          <w:ilvl w:val="0"/>
          <w:numId w:val="10"/>
        </w:numPr>
        <w:spacing w:line="360" w:lineRule="auto"/>
        <w:textAlignment w:val="baseline"/>
        <w:rPr>
          <w:rFonts w:cs="宋体"/>
          <w:sz w:val="20"/>
          <w:szCs w:val="21"/>
        </w:rPr>
      </w:pPr>
      <w:r>
        <w:rPr>
          <w:rFonts w:hint="eastAsia" w:cs="宋体"/>
          <w:szCs w:val="21"/>
        </w:rPr>
        <w:t>通过视镜，检查系统是否有水汽</w:t>
      </w:r>
    </w:p>
    <w:p>
      <w:pPr>
        <w:numPr>
          <w:ilvl w:val="0"/>
          <w:numId w:val="10"/>
        </w:numPr>
        <w:spacing w:line="360" w:lineRule="auto"/>
        <w:textAlignment w:val="baseline"/>
        <w:rPr>
          <w:rFonts w:cs="宋体"/>
          <w:sz w:val="20"/>
          <w:szCs w:val="21"/>
        </w:rPr>
      </w:pPr>
      <w:r>
        <w:rPr>
          <w:rFonts w:hint="eastAsia" w:cs="宋体"/>
          <w:szCs w:val="21"/>
        </w:rPr>
        <w:t>检查及记录吸气压力</w:t>
      </w:r>
    </w:p>
    <w:p>
      <w:pPr>
        <w:numPr>
          <w:ilvl w:val="0"/>
          <w:numId w:val="10"/>
        </w:numPr>
        <w:spacing w:line="360" w:lineRule="auto"/>
        <w:textAlignment w:val="baseline"/>
        <w:rPr>
          <w:rFonts w:cs="宋体"/>
          <w:sz w:val="20"/>
          <w:szCs w:val="21"/>
        </w:rPr>
      </w:pPr>
      <w:r>
        <w:rPr>
          <w:rFonts w:hint="eastAsia" w:cs="宋体"/>
          <w:szCs w:val="21"/>
        </w:rPr>
        <w:t>检查及记录排气压力</w:t>
      </w:r>
    </w:p>
    <w:p>
      <w:pPr>
        <w:numPr>
          <w:ilvl w:val="0"/>
          <w:numId w:val="10"/>
        </w:numPr>
        <w:spacing w:line="360" w:lineRule="auto"/>
        <w:textAlignment w:val="baseline"/>
        <w:rPr>
          <w:rFonts w:cs="宋体"/>
          <w:sz w:val="20"/>
          <w:szCs w:val="21"/>
        </w:rPr>
      </w:pPr>
      <w:r>
        <w:rPr>
          <w:rFonts w:hint="eastAsia" w:cs="宋体"/>
          <w:szCs w:val="21"/>
        </w:rPr>
        <w:t>检查管道是否有不正常之震动</w:t>
      </w:r>
    </w:p>
    <w:p>
      <w:pPr>
        <w:numPr>
          <w:ilvl w:val="0"/>
          <w:numId w:val="10"/>
        </w:numPr>
        <w:spacing w:line="360" w:lineRule="auto"/>
        <w:textAlignment w:val="baseline"/>
        <w:rPr>
          <w:rFonts w:cs="宋体"/>
          <w:sz w:val="20"/>
          <w:szCs w:val="21"/>
        </w:rPr>
      </w:pPr>
      <w:r>
        <w:rPr>
          <w:rFonts w:hint="eastAsia" w:cs="宋体"/>
          <w:szCs w:val="21"/>
        </w:rPr>
        <w:t>检查膨胀阀是否有冰堵.</w:t>
      </w:r>
    </w:p>
    <w:p>
      <w:pPr>
        <w:numPr>
          <w:ilvl w:val="0"/>
          <w:numId w:val="10"/>
        </w:numPr>
        <w:spacing w:line="360" w:lineRule="auto"/>
        <w:textAlignment w:val="baseline"/>
        <w:rPr>
          <w:rFonts w:cs="宋体"/>
          <w:sz w:val="20"/>
          <w:szCs w:val="21"/>
          <w:u w:val="single"/>
        </w:rPr>
      </w:pPr>
      <w:r>
        <w:rPr>
          <w:rFonts w:hint="eastAsia" w:cs="宋体"/>
          <w:szCs w:val="21"/>
        </w:rPr>
        <w:t>检查热气旁通</w:t>
      </w:r>
    </w:p>
    <w:p>
      <w:pPr>
        <w:numPr>
          <w:ilvl w:val="0"/>
          <w:numId w:val="5"/>
        </w:numPr>
        <w:spacing w:line="360" w:lineRule="auto"/>
        <w:textAlignment w:val="baseline"/>
        <w:rPr>
          <w:rFonts w:cs="宋体"/>
          <w:sz w:val="20"/>
          <w:szCs w:val="21"/>
        </w:rPr>
      </w:pPr>
      <w:r>
        <w:rPr>
          <w:rFonts w:hint="eastAsia" w:cs="宋体"/>
          <w:szCs w:val="21"/>
        </w:rPr>
        <w:t>电气装置</w:t>
      </w:r>
    </w:p>
    <w:p>
      <w:pPr>
        <w:numPr>
          <w:ilvl w:val="0"/>
          <w:numId w:val="11"/>
        </w:numPr>
        <w:spacing w:line="360" w:lineRule="auto"/>
        <w:textAlignment w:val="baseline"/>
        <w:rPr>
          <w:rFonts w:cs="宋体"/>
          <w:sz w:val="20"/>
          <w:szCs w:val="21"/>
        </w:rPr>
      </w:pPr>
      <w:r>
        <w:rPr>
          <w:rFonts w:hint="eastAsia" w:cs="宋体"/>
          <w:szCs w:val="21"/>
        </w:rPr>
        <w:t>所有电器外观和动作情况</w:t>
      </w:r>
    </w:p>
    <w:p>
      <w:pPr>
        <w:numPr>
          <w:ilvl w:val="0"/>
          <w:numId w:val="11"/>
        </w:numPr>
        <w:spacing w:line="360" w:lineRule="auto"/>
        <w:textAlignment w:val="baseline"/>
        <w:rPr>
          <w:rFonts w:cs="宋体"/>
          <w:sz w:val="20"/>
          <w:szCs w:val="21"/>
        </w:rPr>
      </w:pPr>
      <w:r>
        <w:rPr>
          <w:rFonts w:hint="eastAsia" w:cs="宋体"/>
          <w:szCs w:val="21"/>
        </w:rPr>
        <w:t>检查和紧固所有导线连接</w:t>
      </w:r>
    </w:p>
    <w:p>
      <w:pPr>
        <w:numPr>
          <w:ilvl w:val="0"/>
          <w:numId w:val="11"/>
        </w:numPr>
        <w:spacing w:line="360" w:lineRule="auto"/>
        <w:textAlignment w:val="baseline"/>
        <w:rPr>
          <w:rFonts w:cs="宋体"/>
          <w:sz w:val="20"/>
          <w:szCs w:val="21"/>
        </w:rPr>
      </w:pPr>
      <w:r>
        <w:rPr>
          <w:rFonts w:hint="eastAsia" w:cs="宋体"/>
          <w:szCs w:val="21"/>
        </w:rPr>
        <w:t>检查校验运行状态显示</w:t>
      </w:r>
    </w:p>
    <w:p>
      <w:pPr>
        <w:textAlignment w:val="baseline"/>
        <w:rPr>
          <w:rFonts w:cs="宋体"/>
          <w:sz w:val="20"/>
          <w:szCs w:val="21"/>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139065</wp:posOffset>
                </wp:positionV>
                <wp:extent cx="4297680" cy="365760"/>
                <wp:effectExtent l="4445" t="5080" r="98425" b="86360"/>
                <wp:wrapNone/>
                <wp:docPr id="6" name="文本框 3"/>
                <wp:cNvGraphicFramePr/>
                <a:graphic xmlns:a="http://schemas.openxmlformats.org/drawingml/2006/main">
                  <a:graphicData uri="http://schemas.microsoft.com/office/word/2010/wordprocessingShape">
                    <wps:wsp>
                      <wps:cNvSpPr txBox="1"/>
                      <wps:spPr>
                        <a:xfrm>
                          <a:off x="0" y="0"/>
                          <a:ext cx="4297680" cy="36576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outerShdw>
                        </a:effectLst>
                      </wps:spPr>
                      <wps:txbx>
                        <w:txbxContent>
                          <w:p>
                            <w:pPr>
                              <w:spacing w:line="0" w:lineRule="atLeast"/>
                              <w:rPr>
                                <w:rFonts w:ascii="宋体" w:hAnsi="宋体"/>
                                <w:b/>
                                <w:sz w:val="36"/>
                                <w14:shadow w14:blurRad="50800" w14:dist="38100" w14:dir="2700000" w14:sx="100000" w14:sy="100000" w14:kx="0" w14:ky="0" w14:algn="tl">
                                  <w14:srgbClr w14:val="000000">
                                    <w14:alpha w14:val="60000"/>
                                  </w14:srgbClr>
                                </w14:shadow>
                              </w:rPr>
                            </w:pPr>
                            <w:r>
                              <w:rPr>
                                <w:rFonts w:hint="eastAsia" w:ascii="宋体" w:hAnsi="宋体"/>
                                <w:b/>
                                <w:sz w:val="36"/>
                                <w14:shadow w14:blurRad="50800" w14:dist="38100" w14:dir="2700000" w14:sx="100000" w14:sy="100000" w14:kx="0" w14:ky="0" w14:algn="tl">
                                  <w14:srgbClr w14:val="000000">
                                    <w14:alpha w14:val="60000"/>
                                  </w14:srgbClr>
                                </w14:shadow>
                              </w:rPr>
                              <w:t>UPS维保巡检工作内容</w:t>
                            </w:r>
                          </w:p>
                        </w:txbxContent>
                      </wps:txbx>
                      <wps:bodyPr upright="1"/>
                    </wps:wsp>
                  </a:graphicData>
                </a:graphic>
              </wp:anchor>
            </w:drawing>
          </mc:Choice>
          <mc:Fallback>
            <w:pict>
              <v:shape id="文本框 3" o:spid="_x0000_s1026" o:spt="202" type="#_x0000_t202" style="position:absolute;left:0pt;margin-left:0pt;margin-top:10.95pt;height:28.8pt;width:338.4pt;z-index:251660288;mso-width-relative:page;mso-height-relative:page;" fillcolor="#FFFFFF" filled="t" stroked="t" coordsize="21600,21600" o:gfxdata="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qEm7J1AAAAAYBAAAPAAAAAAAAAAEA&#10;IAAAACIAAABkcnMvZG93bnJldi54bWxQSwECFAAUAAAACACHTuJApfZE7UwCAAC9BAAADgAAAAAA&#10;AAABACAAAAAjAQAAZHJzL2Uyb0RvYy54bWxQSwUGAAAAAAYABgBZAQAA4QUAAAAA&#10;">
                <v:fill on="t" focussize="0,0"/>
                <v:stroke color="#000000" joinstyle="miter"/>
                <v:imagedata o:title=""/>
                <o:lock v:ext="edit" aspectratio="f"/>
                <v:shadow on="t" color="#808080" offset="6pt,6pt" origin="0f,0f" matrix="65536f,0f,0f,65536f"/>
                <v:textbox>
                  <w:txbxContent>
                    <w:p>
                      <w:pPr>
                        <w:spacing w:line="0" w:lineRule="atLeast"/>
                        <w:rPr>
                          <w:rFonts w:ascii="宋体" w:hAnsi="宋体"/>
                          <w:b/>
                          <w:sz w:val="36"/>
                          <w14:shadow w14:blurRad="50800" w14:dist="38100" w14:dir="2700000" w14:sx="100000" w14:sy="100000" w14:kx="0" w14:ky="0" w14:algn="tl">
                            <w14:srgbClr w14:val="000000">
                              <w14:alpha w14:val="60000"/>
                            </w14:srgbClr>
                          </w14:shadow>
                        </w:rPr>
                      </w:pPr>
                      <w:r>
                        <w:rPr>
                          <w:rFonts w:hint="eastAsia" w:ascii="宋体" w:hAnsi="宋体"/>
                          <w:b/>
                          <w:sz w:val="36"/>
                          <w14:shadow w14:blurRad="50800" w14:dist="38100" w14:dir="2700000" w14:sx="100000" w14:sy="100000" w14:kx="0" w14:ky="0" w14:algn="tl">
                            <w14:srgbClr w14:val="000000">
                              <w14:alpha w14:val="60000"/>
                            </w14:srgbClr>
                          </w14:shadow>
                        </w:rPr>
                        <w:t>UPS维保巡检工作内容</w:t>
                      </w:r>
                    </w:p>
                  </w:txbxContent>
                </v:textbox>
              </v:shape>
            </w:pict>
          </mc:Fallback>
        </mc:AlternateContent>
      </w:r>
    </w:p>
    <w:p>
      <w:pPr>
        <w:spacing w:line="360" w:lineRule="auto"/>
        <w:textAlignment w:val="baseline"/>
        <w:rPr>
          <w:rFonts w:cs="宋体"/>
          <w:sz w:val="20"/>
          <w:szCs w:val="21"/>
        </w:rPr>
      </w:pPr>
    </w:p>
    <w:p>
      <w:pPr>
        <w:spacing w:line="360" w:lineRule="auto"/>
        <w:textAlignment w:val="baseline"/>
        <w:rPr>
          <w:rFonts w:cs="宋体"/>
          <w:sz w:val="20"/>
          <w:szCs w:val="21"/>
        </w:rPr>
      </w:pPr>
    </w:p>
    <w:p>
      <w:pPr>
        <w:numPr>
          <w:ilvl w:val="0"/>
          <w:numId w:val="12"/>
        </w:numPr>
        <w:spacing w:line="360" w:lineRule="auto"/>
        <w:textAlignment w:val="baseline"/>
        <w:rPr>
          <w:rFonts w:cs="宋体"/>
          <w:sz w:val="20"/>
          <w:szCs w:val="21"/>
        </w:rPr>
      </w:pPr>
      <w:r>
        <w:rPr>
          <w:rFonts w:hint="eastAsia" w:cs="宋体"/>
          <w:szCs w:val="21"/>
        </w:rPr>
        <w:t>检测整个系统的运行参数，确保设备正常运行。</w:t>
      </w:r>
    </w:p>
    <w:p>
      <w:pPr>
        <w:numPr>
          <w:ilvl w:val="0"/>
          <w:numId w:val="12"/>
        </w:numPr>
        <w:spacing w:line="360" w:lineRule="auto"/>
        <w:textAlignment w:val="baseline"/>
        <w:rPr>
          <w:rFonts w:cs="宋体"/>
          <w:sz w:val="20"/>
          <w:szCs w:val="21"/>
        </w:rPr>
      </w:pPr>
      <w:r>
        <w:rPr>
          <w:rFonts w:hint="eastAsia" w:cs="宋体"/>
          <w:szCs w:val="21"/>
        </w:rPr>
        <w:t>检查各主要部件的装配及内部间的连接情况。</w:t>
      </w:r>
    </w:p>
    <w:p>
      <w:pPr>
        <w:numPr>
          <w:ilvl w:val="0"/>
          <w:numId w:val="12"/>
        </w:numPr>
        <w:spacing w:line="360" w:lineRule="auto"/>
        <w:textAlignment w:val="baseline"/>
        <w:rPr>
          <w:rFonts w:cs="宋体"/>
          <w:sz w:val="20"/>
          <w:szCs w:val="21"/>
        </w:rPr>
      </w:pPr>
      <w:r>
        <w:rPr>
          <w:rFonts w:hint="eastAsia" w:cs="宋体"/>
          <w:szCs w:val="21"/>
        </w:rPr>
        <w:t>检查所有螺丝、螺栓等连接点的紧固性及热腐蚀状况并做必要的调整。</w:t>
      </w:r>
    </w:p>
    <w:p>
      <w:pPr>
        <w:numPr>
          <w:ilvl w:val="0"/>
          <w:numId w:val="12"/>
        </w:numPr>
        <w:spacing w:line="360" w:lineRule="auto"/>
        <w:textAlignment w:val="baseline"/>
        <w:rPr>
          <w:rFonts w:cs="宋体"/>
          <w:sz w:val="20"/>
          <w:szCs w:val="21"/>
        </w:rPr>
      </w:pPr>
      <w:r>
        <w:rPr>
          <w:rFonts w:hint="eastAsia" w:cs="宋体"/>
          <w:szCs w:val="21"/>
        </w:rPr>
        <w:t>检查是否有损坏及烧毁的元件及电缆。</w:t>
      </w:r>
    </w:p>
    <w:p>
      <w:pPr>
        <w:numPr>
          <w:ilvl w:val="0"/>
          <w:numId w:val="12"/>
        </w:numPr>
        <w:spacing w:line="360" w:lineRule="auto"/>
        <w:textAlignment w:val="baseline"/>
        <w:rPr>
          <w:rFonts w:cs="宋体"/>
          <w:sz w:val="20"/>
          <w:szCs w:val="21"/>
        </w:rPr>
      </w:pPr>
      <w:r>
        <w:rPr>
          <w:rFonts w:hint="eastAsia" w:cs="宋体"/>
          <w:szCs w:val="21"/>
        </w:rPr>
        <w:t>对电池进行充放电测试。</w:t>
      </w:r>
    </w:p>
    <w:p>
      <w:pPr>
        <w:numPr>
          <w:ilvl w:val="0"/>
          <w:numId w:val="12"/>
        </w:numPr>
        <w:spacing w:line="360" w:lineRule="auto"/>
        <w:textAlignment w:val="baseline"/>
        <w:rPr>
          <w:rFonts w:cs="宋体"/>
          <w:sz w:val="20"/>
          <w:szCs w:val="21"/>
        </w:rPr>
      </w:pPr>
      <w:r>
        <w:rPr>
          <w:rFonts w:hint="eastAsia" w:cs="宋体"/>
          <w:szCs w:val="21"/>
        </w:rPr>
        <w:t>在局方配合下对机组及电池柜进行内外部的彻底清扫。</w:t>
      </w:r>
    </w:p>
    <w:p>
      <w:pPr>
        <w:numPr>
          <w:ilvl w:val="0"/>
          <w:numId w:val="12"/>
        </w:numPr>
        <w:spacing w:line="360" w:lineRule="auto"/>
        <w:textAlignment w:val="baseline"/>
        <w:rPr>
          <w:rFonts w:cs="宋体"/>
          <w:sz w:val="20"/>
          <w:szCs w:val="21"/>
        </w:rPr>
      </w:pPr>
      <w:r>
        <w:rPr>
          <w:rFonts w:hint="eastAsia" w:cs="宋体"/>
          <w:szCs w:val="21"/>
        </w:rPr>
        <w:t>检测电池组/柜的完整性。</w:t>
      </w:r>
    </w:p>
    <w:p>
      <w:pPr>
        <w:numPr>
          <w:ilvl w:val="0"/>
          <w:numId w:val="12"/>
        </w:numPr>
        <w:spacing w:line="360" w:lineRule="auto"/>
        <w:textAlignment w:val="baseline"/>
        <w:rPr>
          <w:rFonts w:cs="宋体"/>
          <w:sz w:val="20"/>
          <w:szCs w:val="21"/>
        </w:rPr>
      </w:pPr>
      <w:r>
        <w:rPr>
          <w:rFonts w:hint="eastAsia" w:cs="宋体"/>
          <w:szCs w:val="21"/>
        </w:rPr>
        <w:t>测量设备的输入、输出电压及电流。</w:t>
      </w:r>
    </w:p>
    <w:p>
      <w:pPr>
        <w:numPr>
          <w:ilvl w:val="0"/>
          <w:numId w:val="12"/>
        </w:numPr>
        <w:spacing w:line="360" w:lineRule="auto"/>
        <w:textAlignment w:val="baseline"/>
        <w:rPr>
          <w:rFonts w:cs="宋体"/>
          <w:sz w:val="20"/>
          <w:szCs w:val="21"/>
        </w:rPr>
      </w:pPr>
      <w:r>
        <w:rPr>
          <w:rFonts w:hint="eastAsia" w:cs="宋体"/>
          <w:szCs w:val="21"/>
        </w:rPr>
        <w:t>检测UPS的同步及输出频率的稳定性。</w:t>
      </w:r>
    </w:p>
    <w:p>
      <w:pPr>
        <w:spacing w:line="360" w:lineRule="auto"/>
        <w:textAlignment w:val="baseline"/>
        <w:rPr>
          <w:rFonts w:cs="宋体"/>
          <w:sz w:val="20"/>
          <w:szCs w:val="21"/>
        </w:rPr>
      </w:pPr>
      <w:r>
        <w:rPr>
          <w:rFonts w:hint="eastAsia" w:cs="宋体"/>
          <w:szCs w:val="21"/>
        </w:rPr>
        <w:t>10．对并机系统，检查每个UPS之间的负载均衡情况。</w:t>
      </w:r>
    </w:p>
    <w:p>
      <w:pPr>
        <w:spacing w:line="360" w:lineRule="auto"/>
        <w:textAlignment w:val="baseline"/>
        <w:rPr>
          <w:rFonts w:cs="宋体"/>
          <w:sz w:val="20"/>
          <w:szCs w:val="21"/>
        </w:rPr>
      </w:pPr>
      <w:r>
        <w:rPr>
          <w:rFonts w:hint="eastAsia" w:cs="宋体"/>
          <w:szCs w:val="21"/>
        </w:rPr>
        <w:t>11．必要时调校UPS的一些基准点和设置参数。</w:t>
      </w:r>
    </w:p>
    <w:p>
      <w:pPr>
        <w:spacing w:line="360" w:lineRule="auto"/>
        <w:textAlignment w:val="baseline"/>
        <w:rPr>
          <w:rFonts w:cs="宋体"/>
          <w:sz w:val="20"/>
          <w:szCs w:val="21"/>
        </w:rPr>
      </w:pPr>
      <w:r>
        <w:rPr>
          <w:rFonts w:hint="eastAsia" w:cs="宋体"/>
          <w:szCs w:val="21"/>
        </w:rPr>
        <w:t>12．在局方配合下后备电池组的检测还包括：</w:t>
      </w:r>
    </w:p>
    <w:p>
      <w:pPr>
        <w:spacing w:line="360" w:lineRule="auto"/>
        <w:ind w:left="360"/>
        <w:textAlignment w:val="baseline"/>
        <w:rPr>
          <w:rFonts w:cs="宋体"/>
          <w:sz w:val="20"/>
          <w:szCs w:val="21"/>
        </w:rPr>
      </w:pPr>
      <w:r>
        <w:rPr>
          <w:rFonts w:hint="eastAsia" w:cs="宋体"/>
          <w:szCs w:val="21"/>
        </w:rPr>
        <w:t>12—1．外观是否有损坏、变形及漏水。</w:t>
      </w:r>
    </w:p>
    <w:p>
      <w:pPr>
        <w:spacing w:line="360" w:lineRule="auto"/>
        <w:ind w:left="360"/>
        <w:textAlignment w:val="baseline"/>
        <w:rPr>
          <w:rFonts w:cs="宋体"/>
          <w:sz w:val="20"/>
          <w:szCs w:val="21"/>
        </w:rPr>
      </w:pPr>
      <w:r>
        <w:rPr>
          <w:rFonts w:hint="eastAsia" w:cs="宋体"/>
          <w:szCs w:val="21"/>
        </w:rPr>
        <w:t>12—2．电池线及接线端子是否有过热及腐蚀情况。</w:t>
      </w:r>
    </w:p>
    <w:p>
      <w:pPr>
        <w:spacing w:line="360" w:lineRule="auto"/>
        <w:ind w:left="360"/>
        <w:textAlignment w:val="baseline"/>
        <w:rPr>
          <w:rFonts w:cs="宋体"/>
          <w:sz w:val="20"/>
          <w:szCs w:val="21"/>
        </w:rPr>
      </w:pPr>
      <w:r>
        <w:rPr>
          <w:rFonts w:hint="eastAsia" w:cs="宋体"/>
          <w:szCs w:val="21"/>
        </w:rPr>
        <w:t>12—3．各电池组或箱内是否有松脱。</w:t>
      </w:r>
    </w:p>
    <w:p>
      <w:pPr>
        <w:spacing w:line="360" w:lineRule="auto"/>
        <w:ind w:left="360"/>
        <w:textAlignment w:val="baseline"/>
        <w:rPr>
          <w:rFonts w:cs="宋体"/>
          <w:sz w:val="20"/>
          <w:szCs w:val="21"/>
        </w:rPr>
      </w:pPr>
      <w:r>
        <w:rPr>
          <w:rFonts w:hint="eastAsia" w:cs="宋体"/>
          <w:szCs w:val="21"/>
        </w:rPr>
        <w:t>12—4．测量每块电池的浮充电压。</w:t>
      </w:r>
    </w:p>
    <w:p>
      <w:pPr>
        <w:spacing w:line="360" w:lineRule="auto"/>
        <w:ind w:left="360"/>
        <w:textAlignment w:val="baseline"/>
        <w:rPr>
          <w:rFonts w:cs="宋体"/>
          <w:sz w:val="20"/>
          <w:szCs w:val="21"/>
        </w:rPr>
      </w:pPr>
      <w:r>
        <w:rPr>
          <w:rFonts w:hint="eastAsia" w:cs="宋体"/>
          <w:szCs w:val="21"/>
        </w:rPr>
        <w:t>12—5．在电池电极上重新涂上油脂，预防腐蚀。</w:t>
      </w:r>
    </w:p>
    <w:p>
      <w:pPr>
        <w:spacing w:line="360" w:lineRule="auto"/>
        <w:textAlignment w:val="baseline"/>
        <w:rPr>
          <w:rFonts w:cs="宋体"/>
          <w:sz w:val="20"/>
          <w:szCs w:val="21"/>
        </w:rPr>
      </w:pPr>
      <w:r>
        <w:rPr>
          <w:rFonts w:hint="eastAsia" w:cs="宋体"/>
          <w:szCs w:val="21"/>
        </w:rPr>
        <w:t>13．提交所有服务报告及测试记录。</w:t>
      </w:r>
    </w:p>
    <w:p>
      <w:pPr>
        <w:numPr>
          <w:ilvl w:val="0"/>
          <w:numId w:val="13"/>
        </w:numPr>
        <w:spacing w:line="360" w:lineRule="auto"/>
        <w:textAlignment w:val="baseline"/>
        <w:rPr>
          <w:rFonts w:cs="宋体"/>
          <w:sz w:val="20"/>
          <w:szCs w:val="21"/>
        </w:rPr>
      </w:pPr>
      <w:r>
        <w:rPr>
          <w:rFonts w:hint="eastAsia" w:cs="宋体"/>
          <w:szCs w:val="21"/>
        </w:rPr>
        <w:t>汇报任何异常情况，提出解决方案并给予解决。</w:t>
      </w:r>
    </w:p>
    <w:p>
      <w:pPr>
        <w:spacing w:line="360" w:lineRule="auto"/>
        <w:textAlignment w:val="baseline"/>
        <w:rPr>
          <w:rFonts w:cs="宋体"/>
          <w:sz w:val="20"/>
          <w:szCs w:val="21"/>
        </w:rPr>
      </w:pPr>
      <w:r>
        <w:rPr>
          <w:rFonts w:hint="eastAsia" w:cs="宋体"/>
          <w:szCs w:val="21"/>
        </w:rPr>
        <w:t>以上所提及的所有维护步骤均在不影响设备输出的前提下进行。</w:t>
      </w:r>
    </w:p>
    <w:p>
      <w:pPr>
        <w:widowControl/>
        <w:spacing w:line="360" w:lineRule="auto"/>
        <w:ind w:left="479" w:leftChars="228" w:firstLine="400" w:firstLineChars="200"/>
        <w:textAlignment w:val="baseline"/>
        <w:rPr>
          <w:rFonts w:cs="宋体"/>
          <w:kern w:val="0"/>
          <w:sz w:val="20"/>
          <w:szCs w:val="21"/>
          <w:u w:val="single"/>
        </w:rPr>
      </w:pPr>
    </w:p>
    <w:p>
      <w:pPr>
        <w:widowControl/>
        <w:spacing w:line="360" w:lineRule="auto"/>
        <w:ind w:left="479" w:leftChars="228" w:firstLine="420" w:firstLineChars="200"/>
        <w:textAlignment w:val="baseline"/>
        <w:rPr>
          <w:rFonts w:cs="宋体"/>
          <w:vanish/>
          <w:kern w:val="0"/>
          <w:sz w:val="20"/>
          <w:szCs w:val="21"/>
          <w:u w:val="single"/>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297680" cy="495300"/>
                <wp:effectExtent l="4445" t="5080" r="98425" b="90170"/>
                <wp:wrapNone/>
                <wp:docPr id="4" name="文本框 2"/>
                <wp:cNvGraphicFramePr/>
                <a:graphic xmlns:a="http://schemas.openxmlformats.org/drawingml/2006/main">
                  <a:graphicData uri="http://schemas.microsoft.com/office/word/2010/wordprocessingShape">
                    <wps:wsp>
                      <wps:cNvSpPr txBox="1"/>
                      <wps:spPr>
                        <a:xfrm>
                          <a:off x="0" y="0"/>
                          <a:ext cx="4297680" cy="495300"/>
                        </a:xfrm>
                        <a:prstGeom prst="rect">
                          <a:avLst/>
                        </a:prstGeom>
                        <a:solidFill>
                          <a:srgbClr val="FFFFFF"/>
                        </a:solidFill>
                        <a:ln w="9525" cap="flat" cmpd="sng">
                          <a:solidFill>
                            <a:srgbClr val="000000"/>
                          </a:solidFill>
                          <a:prstDash val="solid"/>
                          <a:miter/>
                          <a:headEnd type="none" w="med" len="med"/>
                          <a:tailEnd type="none" w="med" len="med"/>
                        </a:ln>
                        <a:effectLst>
                          <a:outerShdw dist="107763" dir="2699999" algn="ctr" rotWithShape="0">
                            <a:srgbClr val="808080"/>
                          </a:outerShdw>
                        </a:effectLst>
                      </wps:spPr>
                      <wps:txbx>
                        <w:txbxContent>
                          <w:p>
                            <w:pPr>
                              <w:rPr>
                                <w:b/>
                                <w:sz w:val="36"/>
                                <w:szCs w:val="36"/>
                              </w:rPr>
                            </w:pPr>
                            <w:r>
                              <w:rPr>
                                <w:rFonts w:hint="eastAsia"/>
                                <w:b/>
                                <w:sz w:val="36"/>
                                <w:szCs w:val="36"/>
                              </w:rPr>
                              <w:t>配电系统巡检内容</w:t>
                            </w:r>
                          </w:p>
                        </w:txbxContent>
                      </wps:txbx>
                      <wps:bodyPr upright="1"/>
                    </wps:wsp>
                  </a:graphicData>
                </a:graphic>
              </wp:anchor>
            </w:drawing>
          </mc:Choice>
          <mc:Fallback>
            <w:pict>
              <v:shape id="文本框 2" o:spid="_x0000_s1026" o:spt="202" type="#_x0000_t202" style="position:absolute;left:0pt;margin-left:0pt;margin-top:8.55pt;height:39pt;width:338.4pt;z-index:251659264;mso-width-relative:page;mso-height-relative:page;" fillcolor="#FFFFFF" filled="t" stroked="t" coordsize="21600,21600" o:gfxdata="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rhdanUAAAABgEAAA8AAAAAAAAAAQAg&#10;AAAAIgAAAGRycy9kb3ducmV2LnhtbFBLAQIUABQAAAAIAIdO4kBSXyO3SwIAAL0EAAAOAAAAAAAA&#10;AAEAIAAAACMBAABkcnMvZTJvRG9jLnhtbFBLBQYAAAAABgAGAFkBAADgBQAAAAA=&#10;">
                <v:fill on="t" focussize="0,0"/>
                <v:stroke color="#000000" joinstyle="miter"/>
                <v:imagedata o:title=""/>
                <o:lock v:ext="edit" aspectratio="f"/>
                <v:shadow on="t" color="#808080" offset="6pt,6pt" origin="0f,0f" matrix="65536f,0f,0f,65536f"/>
                <v:textbox>
                  <w:txbxContent>
                    <w:p>
                      <w:pPr>
                        <w:rPr>
                          <w:b/>
                          <w:sz w:val="36"/>
                          <w:szCs w:val="36"/>
                        </w:rPr>
                      </w:pPr>
                      <w:r>
                        <w:rPr>
                          <w:rFonts w:hint="eastAsia"/>
                          <w:b/>
                          <w:sz w:val="36"/>
                          <w:szCs w:val="36"/>
                        </w:rPr>
                        <w:t>配电系统巡检内容</w:t>
                      </w:r>
                    </w:p>
                  </w:txbxContent>
                </v:textbox>
              </v:shape>
            </w:pict>
          </mc:Fallback>
        </mc:AlternateContent>
      </w:r>
    </w:p>
    <w:p>
      <w:pPr>
        <w:spacing w:line="360" w:lineRule="auto"/>
        <w:jc w:val="left"/>
        <w:textAlignment w:val="baseline"/>
        <w:rPr>
          <w:rFonts w:cs="宋体"/>
          <w:vanish/>
          <w:sz w:val="20"/>
          <w:szCs w:val="21"/>
        </w:rPr>
      </w:pPr>
    </w:p>
    <w:p>
      <w:pPr>
        <w:spacing w:line="360" w:lineRule="auto"/>
        <w:textAlignment w:val="baseline"/>
        <w:rPr>
          <w:rFonts w:cs="宋体"/>
          <w:vanish/>
          <w:sz w:val="20"/>
          <w:szCs w:val="21"/>
        </w:rPr>
      </w:pPr>
    </w:p>
    <w:p>
      <w:pPr>
        <w:spacing w:line="360" w:lineRule="auto"/>
        <w:jc w:val="left"/>
        <w:textAlignment w:val="baseline"/>
        <w:rPr>
          <w:rFonts w:cs="宋体"/>
          <w:vanish/>
          <w:sz w:val="20"/>
          <w:szCs w:val="21"/>
        </w:rPr>
      </w:pPr>
    </w:p>
    <w:p>
      <w:pPr>
        <w:spacing w:line="360" w:lineRule="auto"/>
        <w:textAlignment w:val="baseline"/>
        <w:rPr>
          <w:rFonts w:cs="宋体"/>
          <w:b/>
          <w:bCs/>
          <w:vanish/>
          <w:sz w:val="20"/>
          <w:szCs w:val="21"/>
        </w:rPr>
      </w:pPr>
    </w:p>
    <w:p>
      <w:pPr>
        <w:spacing w:line="360" w:lineRule="auto"/>
        <w:textAlignment w:val="baseline"/>
        <w:rPr>
          <w:rFonts w:cs="宋体"/>
          <w:vanish/>
          <w:sz w:val="20"/>
          <w:szCs w:val="21"/>
        </w:rPr>
      </w:pPr>
    </w:p>
    <w:p>
      <w:pPr>
        <w:pStyle w:val="3"/>
        <w:jc w:val="center"/>
        <w:textAlignment w:val="baseline"/>
        <w:rPr>
          <w:rFonts w:cs="宋体"/>
          <w:sz w:val="21"/>
          <w:szCs w:val="21"/>
        </w:rPr>
      </w:pPr>
    </w:p>
    <w:tbl>
      <w:tblPr>
        <w:tblStyle w:val="9"/>
        <w:tblW w:w="9560" w:type="dxa"/>
        <w:tblInd w:w="108" w:type="dxa"/>
        <w:tblLayout w:type="autofit"/>
        <w:tblCellMar>
          <w:top w:w="0" w:type="dxa"/>
          <w:left w:w="108" w:type="dxa"/>
          <w:bottom w:w="0" w:type="dxa"/>
          <w:right w:w="108" w:type="dxa"/>
        </w:tblCellMar>
      </w:tblPr>
      <w:tblGrid>
        <w:gridCol w:w="456"/>
        <w:gridCol w:w="1320"/>
        <w:gridCol w:w="3240"/>
        <w:gridCol w:w="2220"/>
        <w:gridCol w:w="1840"/>
        <w:gridCol w:w="484"/>
      </w:tblGrid>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（一）建立文档：</w:t>
            </w:r>
          </w:p>
        </w:tc>
      </w:tr>
      <w:tr>
        <w:trPr>
          <w:trHeight w:val="140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每一台设备建立一套档案，集中管理。每次巡检、维护和抢修的详细数据都应记录在案，根据这些数据，对每一台设备的运行情况、部件损耗等情况做出整体评估，相应于每台设备的具体情况，有针对性的制定出维护方案，并上报备案。配电设备在维护维修中若需更换备品、备件，保证供应的是原型号的合格配件。每完成一次维护维修作业后，均须填写好相应的记录、报告，并由双方代表签字确认。</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（二）维保方式</w:t>
            </w:r>
          </w:p>
        </w:tc>
      </w:tr>
      <w:tr>
        <w:trPr>
          <w:trHeight w:val="84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检修时应从变压器低压侧开始。配电柜断电后，清洁柜中灰尘，检查母线及引下线连接是否良好，接头点有无发热变色，检查电缆头、接线桩头是否牢固可靠，检查接地线有无锈蚀，接线桩头是否紧固。所有二次回路接线连接可靠，绝缘符合要求。</w:t>
            </w:r>
          </w:p>
        </w:tc>
      </w:tr>
      <w:tr>
        <w:trPr>
          <w:trHeight w:val="84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检修电容柜时，应先断开电容柜总开关，用10mm2以上的一根导线逐个把电容器对地进行放电后，外观检查壳体良好，无渗漏油现象，若电容器外壳膨胀，应及时处理，更换放电装置、控制电路的接线螺丝及接地装置。合闸后进行指示部分及自动补偿部分的调试。</w:t>
            </w:r>
          </w:p>
        </w:tc>
      </w:tr>
      <w:tr>
        <w:trPr>
          <w:trHeight w:val="56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检修操作步骤：母排接触处重新擦净，并涂上电力复合脂，用新弹簧垫片螺丝加以紧固，检查母排间的绝缘子、间距连接处有无异常，检查电流、电压、互感器的二次绕组接线端子连接的可靠性。</w:t>
            </w:r>
          </w:p>
        </w:tc>
      </w:tr>
      <w:tr>
        <w:trPr>
          <w:trHeight w:val="84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送电前的检查测试：拆除所有接地线、短接线，检查工作现场是否遗留工具，确定无误后，合上隔离开关，断开高压侧接地开关，合上运行变压器高压侧断路器，取下标志牌，向变压器送电，然后再合上低压侧受电柜的断路器，向母排送电，最后合上有关联络柜和各支路自动空气开关。</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保证配电柜内无其它物品，盖板整齐、严密。电源盘、柜及其他电气装置的台座与地面牢固固定。</w:t>
            </w:r>
          </w:p>
        </w:tc>
      </w:tr>
      <w:tr>
        <w:trPr>
          <w:trHeight w:val="56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检查配电柜上的各种仪表及指示灯及开关等部件是否正常，检测供电及配电的电源质量，包括电压电流等；视在功率是否超过正常范围、满足相关规定要求。</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用红外点温计检测配电柜内每个元件的温度，对温度偏高的元件，仔细查找原因，消除隐患。</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用电流表检测零线、地线及火线的电流，如有不正常的需查找原因，保证检查配电柜的正常使用。</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当配电柜内的元件在正常使用的情况下发生损坏时，我公司应及时提供备件并更换。</w:t>
            </w:r>
          </w:p>
        </w:tc>
      </w:tr>
      <w:tr>
        <w:trPr>
          <w:trHeight w:val="56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灯具，吸顶灯具底座应紧贴吊顶不留缝隙，如有松动应进行调整；成排安装的灯具、光带要平直、整齐；对不良的灯具更换灯泡。保证灯具接地良好。</w:t>
            </w:r>
          </w:p>
        </w:tc>
      </w:tr>
      <w:tr>
        <w:tblPrEx>
          <w:tblCellMar>
            <w:top w:w="0" w:type="dxa"/>
            <w:left w:w="108" w:type="dxa"/>
            <w:bottom w:w="0" w:type="dxa"/>
            <w:right w:w="108" w:type="dxa"/>
          </w:tblCellMar>
        </w:tblPrEx>
        <w:trPr>
          <w:trHeight w:val="56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检查开关插座保证安装开关的盖板端正、严密、并与墙面平，保证开关插座与接地线或零线的牢固联接。</w:t>
            </w:r>
          </w:p>
        </w:tc>
      </w:tr>
      <w:tr>
        <w:trPr>
          <w:trHeight w:val="56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对应急灯系统进行常规检查。对防雷系统按照国家相关规范进行检查。以竣工验收标准检测接地系统，查看是否接触良好，若超出标准及时修复。</w:t>
            </w:r>
          </w:p>
        </w:tc>
      </w:tr>
      <w:tr>
        <w:tblPrEx>
          <w:tblCellMar>
            <w:top w:w="0" w:type="dxa"/>
            <w:left w:w="108" w:type="dxa"/>
            <w:bottom w:w="0" w:type="dxa"/>
            <w:right w:w="108" w:type="dxa"/>
          </w:tblCellMar>
        </w:tblPrEx>
        <w:trPr>
          <w:trHeight w:val="56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检测电气系统的安全性，包括用电安全及防水、防鼠等因素。在电气系统进行改造或变动后，我公司应及时对电气系统的标识及竣工图进行更新并备案。</w:t>
            </w:r>
          </w:p>
        </w:tc>
      </w:tr>
      <w:tr>
        <w:trPr>
          <w:trHeight w:val="56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在使用过程中如果贵单位对该系统有不了解的地方，我公司应无条件进行现场使用培训。贵单位需要在机房内进行其他专业的施工时，我公司需予以配合。</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jc w:val="left"/>
              <w:textAlignment w:val="baseline"/>
              <w:rPr>
                <w:rFonts w:cs="宋体"/>
                <w:color w:val="000000"/>
                <w:kern w:val="0"/>
                <w:sz w:val="20"/>
                <w:szCs w:val="21"/>
              </w:rPr>
            </w:pPr>
            <w:r>
              <w:rPr>
                <w:rFonts w:hint="eastAsia" w:cs="宋体"/>
                <w:color w:val="000000"/>
                <w:kern w:val="0"/>
                <w:szCs w:val="21"/>
              </w:rPr>
              <w:t>（三）检查方式</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检查配电箱的外观是否完好</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各指示灯是否正常，</w:t>
            </w:r>
            <w:r>
              <w:rPr>
                <w:rFonts w:hint="eastAsia" w:cs="宋体"/>
                <w:kern w:val="0"/>
                <w:szCs w:val="21"/>
              </w:rPr>
              <w:t>断路器</w:t>
            </w:r>
            <w:r>
              <w:rPr>
                <w:rFonts w:hint="eastAsia" w:cs="宋体"/>
                <w:color w:val="000000"/>
                <w:kern w:val="0"/>
                <w:szCs w:val="21"/>
              </w:rPr>
              <w:t>漏电开关，</w:t>
            </w:r>
            <w:r>
              <w:rPr>
                <w:rFonts w:hint="eastAsia" w:cs="宋体"/>
                <w:kern w:val="0"/>
                <w:szCs w:val="21"/>
              </w:rPr>
              <w:t>热继电器</w:t>
            </w:r>
            <w:r>
              <w:rPr>
                <w:rFonts w:hint="eastAsia" w:cs="宋体"/>
                <w:color w:val="000000"/>
                <w:kern w:val="0"/>
                <w:szCs w:val="21"/>
              </w:rPr>
              <w:t>，时间继电器，多功能表等进行检查，调整</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检查配电箱是否清洁</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检查配电箱的标示是否正确、清晰</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检查各种显示仪表是否正常</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检查各相电压是否符合要求</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检查各相电流是否平衡</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检查各开关整定值是否与负载值相匹配</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检测开关、电缆、母线与接点的温升</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测量零线电流和地线电流是否正常</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测量零地电压差</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检查电缆、开关接触点有无发热变色（一般都为银色），接地线有无锈蚀（焊接点是否正常）</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检查抽屉式开关推入或抽出是否灵活，其机械闭锁可靠，触头是否良好</w:t>
            </w:r>
          </w:p>
        </w:tc>
      </w:tr>
      <w:tr>
        <w:tblPrEx>
          <w:tblCellMar>
            <w:top w:w="0" w:type="dxa"/>
            <w:left w:w="108" w:type="dxa"/>
            <w:bottom w:w="0" w:type="dxa"/>
            <w:right w:w="108" w:type="dxa"/>
          </w:tblCellMar>
        </w:tblPrEx>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检查ATS转换是否正常</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负责故障部件及元器件的更换</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负责故障点、隐患点的维修维护。</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配电柜配件，钥匙、二次图、开关手柄是否齐全</w:t>
            </w:r>
          </w:p>
        </w:tc>
      </w:tr>
      <w:tr>
        <w:trPr>
          <w:trHeight w:val="280" w:hRule="atLeast"/>
        </w:trPr>
        <w:tc>
          <w:tcPr>
            <w:tcW w:w="9560" w:type="dxa"/>
            <w:gridSpan w:val="6"/>
            <w:tcBorders>
              <w:top w:val="nil"/>
              <w:left w:val="nil"/>
              <w:bottom w:val="nil"/>
              <w:right w:val="nil"/>
            </w:tcBorders>
            <w:shd w:val="clear" w:color="auto" w:fill="auto"/>
            <w:vAlign w:val="center"/>
          </w:tcPr>
          <w:p>
            <w:pPr>
              <w:widowControl/>
              <w:spacing w:line="360" w:lineRule="auto"/>
              <w:textAlignment w:val="baseline"/>
              <w:rPr>
                <w:rFonts w:cs="宋体"/>
                <w:color w:val="000000"/>
                <w:kern w:val="0"/>
                <w:sz w:val="20"/>
                <w:szCs w:val="21"/>
              </w:rPr>
            </w:pPr>
            <w:r>
              <w:rPr>
                <w:rFonts w:hint="eastAsia" w:cs="宋体"/>
                <w:color w:val="000000"/>
                <w:kern w:val="0"/>
                <w:szCs w:val="21"/>
              </w:rPr>
              <w:t>配电柜各支路相序正确，回路清晰，标识齐全</w:t>
            </w:r>
          </w:p>
          <w:p>
            <w:pPr>
              <w:pStyle w:val="2"/>
            </w:pPr>
          </w:p>
          <w:p>
            <w:pPr>
              <w:textAlignment w:val="baseline"/>
              <w:rPr>
                <w:b/>
                <w:i/>
                <w:caps/>
              </w:rPr>
            </w:pPr>
          </w:p>
          <w:p>
            <w:pPr>
              <w:pStyle w:val="2"/>
            </w:pPr>
            <w:r>
              <w:rPr>
                <w:rFonts w:hint="eastAsia"/>
              </w:rPr>
              <w:t>监控系统季度检查表</w:t>
            </w:r>
          </w:p>
          <w:p>
            <w:pPr>
              <w:pStyle w:val="2"/>
            </w:pPr>
          </w:p>
        </w:tc>
      </w:tr>
      <w:tr>
        <w:tblPrEx>
          <w:tblCellMar>
            <w:top w:w="0" w:type="dxa"/>
            <w:left w:w="108" w:type="dxa"/>
            <w:bottom w:w="0" w:type="dxa"/>
            <w:right w:w="108" w:type="dxa"/>
          </w:tblCellMar>
        </w:tblPrEx>
        <w:trPr>
          <w:gridAfter w:val="1"/>
          <w:wAfter w:w="484" w:type="dxa"/>
          <w:trHeight w:val="480" w:hRule="atLeast"/>
        </w:trPr>
        <w:tc>
          <w:tcPr>
            <w:tcW w:w="4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b/>
                <w:bCs/>
                <w:kern w:val="0"/>
                <w:sz w:val="20"/>
                <w:szCs w:val="21"/>
              </w:rPr>
            </w:pPr>
            <w:r>
              <w:rPr>
                <w:rFonts w:hint="eastAsia" w:cs="宋体"/>
                <w:b/>
                <w:bCs/>
                <w:kern w:val="0"/>
                <w:szCs w:val="21"/>
              </w:rPr>
              <w:t>序号</w:t>
            </w:r>
          </w:p>
        </w:tc>
        <w:tc>
          <w:tcPr>
            <w:tcW w:w="132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b/>
                <w:bCs/>
                <w:kern w:val="0"/>
                <w:sz w:val="20"/>
                <w:szCs w:val="21"/>
              </w:rPr>
            </w:pPr>
            <w:r>
              <w:rPr>
                <w:rFonts w:hint="eastAsia" w:cs="宋体"/>
                <w:b/>
                <w:bCs/>
                <w:kern w:val="0"/>
                <w:szCs w:val="21"/>
              </w:rPr>
              <w:t>项目</w:t>
            </w:r>
          </w:p>
        </w:tc>
        <w:tc>
          <w:tcPr>
            <w:tcW w:w="324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textAlignment w:val="baseline"/>
              <w:rPr>
                <w:rFonts w:cs="宋体"/>
                <w:b/>
                <w:bCs/>
                <w:kern w:val="0"/>
                <w:sz w:val="20"/>
                <w:szCs w:val="21"/>
              </w:rPr>
            </w:pPr>
            <w:r>
              <w:rPr>
                <w:rFonts w:hint="eastAsia" w:cs="宋体"/>
                <w:b/>
                <w:bCs/>
                <w:kern w:val="0"/>
                <w:szCs w:val="21"/>
              </w:rPr>
              <w:t>检查子项</w:t>
            </w:r>
          </w:p>
        </w:tc>
        <w:tc>
          <w:tcPr>
            <w:tcW w:w="2220"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b/>
                <w:bCs/>
                <w:kern w:val="0"/>
                <w:sz w:val="20"/>
                <w:szCs w:val="21"/>
              </w:rPr>
            </w:pPr>
            <w:r>
              <w:rPr>
                <w:rFonts w:hint="eastAsia" w:cs="宋体"/>
                <w:b/>
                <w:bCs/>
                <w:kern w:val="0"/>
                <w:szCs w:val="21"/>
              </w:rPr>
              <w:t>内容</w:t>
            </w:r>
          </w:p>
        </w:tc>
        <w:tc>
          <w:tcPr>
            <w:tcW w:w="184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textAlignment w:val="baseline"/>
              <w:rPr>
                <w:rFonts w:cs="宋体"/>
                <w:b/>
                <w:bCs/>
                <w:kern w:val="0"/>
                <w:sz w:val="20"/>
                <w:szCs w:val="21"/>
              </w:rPr>
            </w:pPr>
            <w:r>
              <w:rPr>
                <w:rFonts w:hint="eastAsia" w:cs="宋体"/>
                <w:b/>
                <w:bCs/>
                <w:kern w:val="0"/>
                <w:szCs w:val="21"/>
              </w:rPr>
              <w:t>检查结果</w:t>
            </w:r>
          </w:p>
        </w:tc>
      </w:tr>
      <w:tr>
        <w:trPr>
          <w:gridAfter w:val="1"/>
          <w:wAfter w:w="484" w:type="dxa"/>
          <w:trHeight w:val="480" w:hRule="atLeast"/>
        </w:trPr>
        <w:tc>
          <w:tcPr>
            <w:tcW w:w="45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1</w:t>
            </w:r>
          </w:p>
        </w:tc>
        <w:tc>
          <w:tcPr>
            <w:tcW w:w="13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textAlignment w:val="baseline"/>
              <w:rPr>
                <w:rFonts w:cs="宋体"/>
                <w:kern w:val="0"/>
                <w:sz w:val="20"/>
                <w:szCs w:val="21"/>
              </w:rPr>
            </w:pPr>
            <w:r>
              <w:rPr>
                <w:rFonts w:hint="eastAsia" w:cs="宋体"/>
                <w:kern w:val="0"/>
                <w:szCs w:val="21"/>
              </w:rPr>
              <w:t>硬件系统</w:t>
            </w: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主机风扇运行正常、进出排风清洁</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外观检查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66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模块箱指示灯运行正常，无异常报警</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外观检查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温湿度传感器显示正常</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外观检查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72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摄像机无歪斜、支架无锈蚀、脱落等现象</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外观检查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703"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摄像图像无雪花、条纹、闪烁等现象</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查看图像</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摄像头及门禁系统无异常报警</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外观检查、记录</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720" w:hRule="atLeast"/>
        </w:trPr>
        <w:tc>
          <w:tcPr>
            <w:tcW w:w="456"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2</w:t>
            </w:r>
          </w:p>
        </w:tc>
        <w:tc>
          <w:tcPr>
            <w:tcW w:w="132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软件系统</w:t>
            </w: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数据库、报表正常、软件系统进行备份</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操作</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CCTV录像回放，记录正常</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回放</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整体漏水线检查</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清洁</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报警记录可查询近期6个月</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记录查寻</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设备数据显示与界面显示数据对应</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对应检查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72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设备连接无通讯中断及异常数据显示</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显示界面检查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rPr>
          <w:gridAfter w:val="1"/>
          <w:wAfter w:w="484" w:type="dxa"/>
          <w:trHeight w:val="54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设备内部线缆完好，无老化</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外观检查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54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设备无异常据显示</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显示界面检查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历史曲线连续性正常</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显示检查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报警等级进行验证</w:t>
            </w:r>
          </w:p>
        </w:tc>
        <w:tc>
          <w:tcPr>
            <w:tcW w:w="222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测试</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无误报、死机现象</w:t>
            </w:r>
          </w:p>
        </w:tc>
        <w:tc>
          <w:tcPr>
            <w:tcW w:w="222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记录检查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硬盘空间及数据库整理</w:t>
            </w:r>
          </w:p>
        </w:tc>
        <w:tc>
          <w:tcPr>
            <w:tcW w:w="2220" w:type="dxa"/>
            <w:tcBorders>
              <w:top w:val="nil"/>
              <w:left w:val="nil"/>
              <w:bottom w:val="single" w:color="auto" w:sz="4" w:space="0"/>
              <w:right w:val="single" w:color="auto" w:sz="4" w:space="0"/>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操作</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rPr>
          <w:gridAfter w:val="1"/>
          <w:wAfter w:w="484" w:type="dxa"/>
          <w:trHeight w:val="480" w:hRule="atLeast"/>
        </w:trPr>
        <w:tc>
          <w:tcPr>
            <w:tcW w:w="456" w:type="dxa"/>
            <w:vMerge w:val="continue"/>
            <w:tcBorders>
              <w:top w:val="nil"/>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textAlignment w:val="baseline"/>
              <w:rPr>
                <w:rFonts w:cs="宋体"/>
                <w:kern w:val="0"/>
                <w:sz w:val="20"/>
                <w:szCs w:val="21"/>
              </w:rPr>
            </w:pPr>
          </w:p>
        </w:tc>
        <w:tc>
          <w:tcPr>
            <w:tcW w:w="324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时间校对</w:t>
            </w:r>
          </w:p>
        </w:tc>
        <w:tc>
          <w:tcPr>
            <w:tcW w:w="222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显示检查</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□正常□异常</w:t>
            </w:r>
          </w:p>
        </w:tc>
      </w:tr>
      <w:tr>
        <w:tblPrEx>
          <w:tblCellMar>
            <w:top w:w="0" w:type="dxa"/>
            <w:left w:w="108" w:type="dxa"/>
            <w:bottom w:w="0" w:type="dxa"/>
            <w:right w:w="108" w:type="dxa"/>
          </w:tblCellMar>
        </w:tblPrEx>
        <w:trPr>
          <w:gridAfter w:val="1"/>
          <w:wAfter w:w="484" w:type="dxa"/>
          <w:trHeight w:val="330" w:hRule="atLeast"/>
        </w:trPr>
        <w:tc>
          <w:tcPr>
            <w:tcW w:w="1776" w:type="dxa"/>
            <w:gridSpan w:val="2"/>
            <w:tcBorders>
              <w:top w:val="single" w:color="auto" w:sz="4" w:space="0"/>
              <w:left w:val="single" w:color="auto" w:sz="4" w:space="0"/>
              <w:bottom w:val="nil"/>
              <w:right w:val="nil"/>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备注：</w:t>
            </w:r>
          </w:p>
        </w:tc>
        <w:tc>
          <w:tcPr>
            <w:tcW w:w="3240" w:type="dxa"/>
            <w:tcBorders>
              <w:top w:val="nil"/>
              <w:left w:val="nil"/>
              <w:bottom w:val="nil"/>
              <w:right w:val="nil"/>
            </w:tcBorders>
            <w:shd w:val="clear" w:color="auto" w:fill="auto"/>
            <w:vAlign w:val="center"/>
          </w:tcPr>
          <w:p>
            <w:pPr>
              <w:widowControl/>
              <w:spacing w:line="360" w:lineRule="auto"/>
              <w:jc w:val="left"/>
              <w:textAlignment w:val="baseline"/>
              <w:rPr>
                <w:rFonts w:cs="宋体"/>
                <w:kern w:val="0"/>
                <w:sz w:val="20"/>
                <w:szCs w:val="21"/>
              </w:rPr>
            </w:pPr>
            <w:r>
              <w:rPr>
                <w:rFonts w:hint="eastAsia" w:cs="宋体"/>
                <w:kern w:val="0"/>
                <w:szCs w:val="21"/>
              </w:rPr>
              <w:t>　</w:t>
            </w:r>
          </w:p>
        </w:tc>
        <w:tc>
          <w:tcPr>
            <w:tcW w:w="2220" w:type="dxa"/>
            <w:tcBorders>
              <w:top w:val="nil"/>
              <w:left w:val="nil"/>
              <w:bottom w:val="nil"/>
              <w:right w:val="nil"/>
            </w:tcBorders>
            <w:shd w:val="clear" w:color="auto" w:fill="auto"/>
            <w:noWrap/>
            <w:vAlign w:val="center"/>
          </w:tcPr>
          <w:p>
            <w:pPr>
              <w:widowControl/>
              <w:spacing w:line="360" w:lineRule="auto"/>
              <w:jc w:val="left"/>
              <w:textAlignment w:val="baseline"/>
              <w:rPr>
                <w:rFonts w:cs="宋体"/>
                <w:kern w:val="0"/>
                <w:sz w:val="20"/>
                <w:szCs w:val="21"/>
              </w:rPr>
            </w:pPr>
            <w:r>
              <w:rPr>
                <w:rFonts w:hint="eastAsia" w:cs="宋体"/>
                <w:kern w:val="0"/>
                <w:szCs w:val="21"/>
              </w:rPr>
              <w:t>　</w:t>
            </w:r>
          </w:p>
        </w:tc>
        <w:tc>
          <w:tcPr>
            <w:tcW w:w="1840" w:type="dxa"/>
            <w:tcBorders>
              <w:top w:val="nil"/>
              <w:left w:val="nil"/>
              <w:bottom w:val="nil"/>
              <w:right w:val="single" w:color="auto" w:sz="4" w:space="0"/>
            </w:tcBorders>
            <w:shd w:val="clear" w:color="auto" w:fill="auto"/>
            <w:noWrap/>
            <w:vAlign w:val="center"/>
          </w:tcPr>
          <w:p>
            <w:pPr>
              <w:widowControl/>
              <w:spacing w:line="360" w:lineRule="auto"/>
              <w:jc w:val="center"/>
              <w:textAlignment w:val="baseline"/>
              <w:rPr>
                <w:rFonts w:cs="宋体"/>
                <w:kern w:val="0"/>
                <w:sz w:val="20"/>
                <w:szCs w:val="21"/>
              </w:rPr>
            </w:pPr>
            <w:r>
              <w:rPr>
                <w:rFonts w:hint="eastAsia" w:cs="宋体"/>
                <w:kern w:val="0"/>
                <w:szCs w:val="21"/>
              </w:rPr>
              <w:t>　</w:t>
            </w:r>
          </w:p>
        </w:tc>
      </w:tr>
      <w:tr>
        <w:tblPrEx>
          <w:tblCellMar>
            <w:top w:w="0" w:type="dxa"/>
            <w:left w:w="108" w:type="dxa"/>
            <w:bottom w:w="0" w:type="dxa"/>
            <w:right w:w="108" w:type="dxa"/>
          </w:tblCellMar>
        </w:tblPrEx>
        <w:trPr>
          <w:gridAfter w:val="1"/>
          <w:wAfter w:w="484" w:type="dxa"/>
          <w:trHeight w:val="468" w:hRule="atLeast"/>
        </w:trPr>
        <w:tc>
          <w:tcPr>
            <w:tcW w:w="9076" w:type="dxa"/>
            <w:gridSpan w:val="5"/>
            <w:vMerge w:val="restart"/>
            <w:tcBorders>
              <w:top w:val="nil"/>
              <w:left w:val="single" w:color="auto" w:sz="4" w:space="0"/>
              <w:bottom w:val="nil"/>
              <w:right w:val="single" w:color="auto" w:sz="4" w:space="0"/>
            </w:tcBorders>
            <w:shd w:val="clear" w:color="auto" w:fill="auto"/>
            <w:noWrap/>
            <w:vAlign w:val="center"/>
          </w:tcPr>
          <w:p>
            <w:pPr>
              <w:widowControl/>
              <w:spacing w:line="360" w:lineRule="auto"/>
              <w:jc w:val="center"/>
              <w:textAlignment w:val="baseline"/>
              <w:rPr>
                <w:rFonts w:cs="宋体"/>
                <w:kern w:val="0"/>
                <w:sz w:val="24"/>
              </w:rPr>
            </w:pPr>
            <w:r>
              <w:rPr>
                <w:rFonts w:hint="eastAsia" w:cs="宋体"/>
                <w:kern w:val="0"/>
                <w:sz w:val="24"/>
              </w:rPr>
              <w:t>　</w:t>
            </w:r>
          </w:p>
        </w:tc>
      </w:tr>
      <w:tr>
        <w:trPr>
          <w:gridAfter w:val="1"/>
          <w:wAfter w:w="484" w:type="dxa"/>
          <w:trHeight w:val="468" w:hRule="atLeast"/>
        </w:trPr>
        <w:tc>
          <w:tcPr>
            <w:tcW w:w="9076" w:type="dxa"/>
            <w:gridSpan w:val="5"/>
            <w:vMerge w:val="continue"/>
            <w:tcBorders>
              <w:top w:val="nil"/>
              <w:left w:val="single" w:color="auto" w:sz="4" w:space="0"/>
              <w:bottom w:val="nil"/>
              <w:right w:val="single" w:color="auto" w:sz="4" w:space="0"/>
            </w:tcBorders>
            <w:vAlign w:val="center"/>
          </w:tcPr>
          <w:p>
            <w:pPr>
              <w:widowControl/>
              <w:spacing w:line="360" w:lineRule="auto"/>
              <w:jc w:val="left"/>
              <w:textAlignment w:val="baseline"/>
              <w:rPr>
                <w:rFonts w:cs="宋体"/>
                <w:kern w:val="0"/>
                <w:sz w:val="24"/>
              </w:rPr>
            </w:pPr>
          </w:p>
        </w:tc>
      </w:tr>
      <w:tr>
        <w:tblPrEx>
          <w:tblCellMar>
            <w:top w:w="0" w:type="dxa"/>
            <w:left w:w="108" w:type="dxa"/>
            <w:bottom w:w="0" w:type="dxa"/>
            <w:right w:w="108" w:type="dxa"/>
          </w:tblCellMar>
        </w:tblPrEx>
        <w:trPr>
          <w:gridAfter w:val="1"/>
          <w:wAfter w:w="484" w:type="dxa"/>
          <w:trHeight w:val="270" w:hRule="atLeast"/>
        </w:trPr>
        <w:tc>
          <w:tcPr>
            <w:tcW w:w="1776" w:type="dxa"/>
            <w:gridSpan w:val="2"/>
            <w:tcBorders>
              <w:top w:val="nil"/>
              <w:left w:val="single" w:color="auto" w:sz="4" w:space="0"/>
              <w:bottom w:val="single" w:color="auto" w:sz="4" w:space="0"/>
              <w:right w:val="nil"/>
            </w:tcBorders>
            <w:shd w:val="clear" w:color="auto" w:fill="auto"/>
            <w:noWrap/>
            <w:vAlign w:val="center"/>
          </w:tcPr>
          <w:p>
            <w:pPr>
              <w:widowControl/>
              <w:spacing w:line="360" w:lineRule="auto"/>
              <w:jc w:val="center"/>
              <w:textAlignment w:val="baseline"/>
              <w:rPr>
                <w:rFonts w:cs="宋体"/>
                <w:kern w:val="0"/>
                <w:sz w:val="24"/>
              </w:rPr>
            </w:pPr>
            <w:r>
              <w:rPr>
                <w:rFonts w:hint="eastAsia" w:cs="宋体"/>
                <w:kern w:val="0"/>
                <w:sz w:val="24"/>
              </w:rPr>
              <w:t>检查人：</w:t>
            </w:r>
          </w:p>
        </w:tc>
        <w:tc>
          <w:tcPr>
            <w:tcW w:w="3240" w:type="dxa"/>
            <w:tcBorders>
              <w:top w:val="nil"/>
              <w:left w:val="nil"/>
              <w:bottom w:val="single" w:color="auto" w:sz="4" w:space="0"/>
              <w:right w:val="nil"/>
            </w:tcBorders>
            <w:shd w:val="clear" w:color="auto" w:fill="auto"/>
            <w:noWrap/>
            <w:vAlign w:val="center"/>
          </w:tcPr>
          <w:p>
            <w:pPr>
              <w:widowControl/>
              <w:spacing w:line="360" w:lineRule="auto"/>
              <w:jc w:val="center"/>
              <w:textAlignment w:val="baseline"/>
              <w:rPr>
                <w:rFonts w:cs="宋体"/>
                <w:kern w:val="0"/>
                <w:sz w:val="24"/>
              </w:rPr>
            </w:pPr>
          </w:p>
        </w:tc>
        <w:tc>
          <w:tcPr>
            <w:tcW w:w="2220" w:type="dxa"/>
            <w:tcBorders>
              <w:top w:val="nil"/>
              <w:left w:val="nil"/>
              <w:bottom w:val="single" w:color="auto" w:sz="4" w:space="0"/>
              <w:right w:val="nil"/>
            </w:tcBorders>
            <w:shd w:val="clear" w:color="auto" w:fill="auto"/>
            <w:noWrap/>
            <w:vAlign w:val="center"/>
          </w:tcPr>
          <w:p>
            <w:pPr>
              <w:widowControl/>
              <w:spacing w:line="360" w:lineRule="auto"/>
              <w:jc w:val="left"/>
              <w:textAlignment w:val="baseline"/>
              <w:rPr>
                <w:rFonts w:cs="宋体"/>
                <w:kern w:val="0"/>
                <w:sz w:val="24"/>
              </w:rPr>
            </w:pPr>
            <w:r>
              <w:rPr>
                <w:rFonts w:hint="eastAsia" w:cs="宋体"/>
                <w:kern w:val="0"/>
                <w:sz w:val="24"/>
              </w:rPr>
              <w:t>检查日期：</w:t>
            </w:r>
          </w:p>
        </w:tc>
        <w:tc>
          <w:tcPr>
            <w:tcW w:w="184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textAlignment w:val="baseline"/>
              <w:rPr>
                <w:rFonts w:cs="宋体"/>
                <w:kern w:val="0"/>
                <w:sz w:val="24"/>
              </w:rPr>
            </w:pPr>
          </w:p>
        </w:tc>
      </w:tr>
    </w:tbl>
    <w:p>
      <w:pPr>
        <w:numPr>
          <w:ilvl w:val="0"/>
          <w:numId w:val="14"/>
        </w:numPr>
        <w:spacing w:line="360" w:lineRule="auto"/>
        <w:textAlignment w:val="baseline"/>
        <w:rPr>
          <w:rFonts w:ascii="宋体" w:hAnsi="宋体" w:cs="宋体"/>
          <w:b/>
          <w:bCs/>
          <w:sz w:val="24"/>
        </w:rPr>
      </w:pPr>
      <w:r>
        <w:rPr>
          <w:rFonts w:hint="eastAsia" w:ascii="宋体" w:hAnsi="宋体" w:cs="宋体"/>
          <w:b/>
          <w:bCs/>
          <w:sz w:val="24"/>
        </w:rPr>
        <w:t>经典维保服务：</w:t>
      </w:r>
    </w:p>
    <w:p>
      <w:pPr>
        <w:numPr>
          <w:ilvl w:val="0"/>
          <w:numId w:val="15"/>
        </w:numPr>
        <w:spacing w:line="360" w:lineRule="auto"/>
        <w:textAlignment w:val="baseline"/>
        <w:rPr>
          <w:rFonts w:ascii="宋体" w:hAnsi="宋体" w:cs="宋体"/>
          <w:bCs/>
          <w:sz w:val="24"/>
        </w:rPr>
      </w:pPr>
      <w:r>
        <w:rPr>
          <w:rFonts w:hint="eastAsia" w:ascii="宋体" w:hAnsi="宋体" w:cs="宋体"/>
          <w:sz w:val="24"/>
        </w:rPr>
        <w:t>1年</w:t>
      </w:r>
      <w:r>
        <w:rPr>
          <w:rFonts w:hint="eastAsia" w:ascii="宋体" w:hAnsi="宋体" w:cs="宋体"/>
          <w:b/>
          <w:bCs/>
          <w:sz w:val="24"/>
        </w:rPr>
        <w:t>4</w:t>
      </w:r>
      <w:r>
        <w:rPr>
          <w:rFonts w:hint="eastAsia" w:ascii="宋体" w:hAnsi="宋体" w:cs="宋体"/>
          <w:sz w:val="24"/>
        </w:rPr>
        <w:t>次定期巡检，全面检修设备；</w:t>
      </w:r>
    </w:p>
    <w:p>
      <w:pPr>
        <w:numPr>
          <w:ilvl w:val="0"/>
          <w:numId w:val="15"/>
        </w:numPr>
        <w:spacing w:line="360" w:lineRule="auto"/>
        <w:textAlignment w:val="baseline"/>
        <w:rPr>
          <w:rFonts w:ascii="宋体" w:hAnsi="宋体" w:cs="宋体"/>
          <w:bCs/>
          <w:sz w:val="24"/>
        </w:rPr>
      </w:pPr>
      <w:r>
        <w:rPr>
          <w:rFonts w:hint="eastAsia" w:ascii="宋体" w:hAnsi="宋体" w:cs="宋体"/>
          <w:sz w:val="24"/>
        </w:rPr>
        <w:t>市内2小时赶赴现场。</w:t>
      </w:r>
    </w:p>
    <w:p>
      <w:pPr>
        <w:numPr>
          <w:ilvl w:val="0"/>
          <w:numId w:val="15"/>
        </w:numPr>
        <w:spacing w:line="360" w:lineRule="auto"/>
        <w:textAlignment w:val="baseline"/>
        <w:rPr>
          <w:rFonts w:ascii="宋体" w:hAnsi="宋体" w:cs="宋体"/>
          <w:bCs/>
          <w:sz w:val="24"/>
        </w:rPr>
      </w:pPr>
      <w:r>
        <w:rPr>
          <w:rFonts w:hint="eastAsia" w:ascii="宋体" w:hAnsi="宋体" w:cs="宋体"/>
          <w:sz w:val="24"/>
        </w:rPr>
        <w:t>全天24小时应急维修服务及电话支持；</w:t>
      </w:r>
    </w:p>
    <w:p>
      <w:pPr>
        <w:numPr>
          <w:ilvl w:val="0"/>
          <w:numId w:val="15"/>
        </w:numPr>
        <w:spacing w:line="360" w:lineRule="auto"/>
        <w:textAlignment w:val="baseline"/>
        <w:rPr>
          <w:rFonts w:ascii="宋体" w:hAnsi="宋体" w:cs="宋体"/>
          <w:bCs/>
          <w:sz w:val="24"/>
        </w:rPr>
      </w:pPr>
      <w:r>
        <w:rPr>
          <w:rFonts w:hint="eastAsia" w:ascii="宋体" w:hAnsi="宋体" w:cs="宋体"/>
          <w:sz w:val="24"/>
        </w:rPr>
        <w:t>备件更换由我方免费提供，并负责安装调试；</w:t>
      </w:r>
    </w:p>
    <w:p>
      <w:pPr>
        <w:numPr>
          <w:ilvl w:val="0"/>
          <w:numId w:val="15"/>
        </w:numPr>
        <w:spacing w:line="360" w:lineRule="auto"/>
        <w:textAlignment w:val="baseline"/>
        <w:rPr>
          <w:rFonts w:ascii="宋体" w:hAnsi="宋体" w:cs="宋体"/>
          <w:bCs/>
          <w:sz w:val="24"/>
        </w:rPr>
      </w:pPr>
      <w:r>
        <w:rPr>
          <w:rFonts w:hint="eastAsia" w:ascii="宋体" w:hAnsi="宋体" w:cs="宋体"/>
          <w:sz w:val="24"/>
        </w:rPr>
        <w:t>维修免收技术服务费；</w:t>
      </w:r>
    </w:p>
    <w:p>
      <w:pPr>
        <w:numPr>
          <w:ilvl w:val="0"/>
          <w:numId w:val="15"/>
        </w:numPr>
        <w:spacing w:line="360" w:lineRule="auto"/>
        <w:textAlignment w:val="baseline"/>
        <w:rPr>
          <w:rFonts w:ascii="宋体" w:hAnsi="宋体" w:cs="宋体"/>
          <w:bCs/>
          <w:sz w:val="24"/>
        </w:rPr>
      </w:pPr>
      <w:r>
        <w:rPr>
          <w:rFonts w:hint="eastAsia" w:ascii="宋体" w:hAnsi="宋体" w:cs="宋体"/>
          <w:bCs/>
          <w:sz w:val="24"/>
        </w:rPr>
        <w:t>1次艾默生产品基础知识及维护集中培训；</w:t>
      </w:r>
    </w:p>
    <w:p>
      <w:pPr>
        <w:numPr>
          <w:ilvl w:val="0"/>
          <w:numId w:val="15"/>
        </w:numPr>
        <w:spacing w:line="360" w:lineRule="auto"/>
        <w:textAlignment w:val="baseline"/>
        <w:rPr>
          <w:rFonts w:ascii="宋体" w:hAnsi="宋体" w:cs="宋体"/>
          <w:bCs/>
          <w:sz w:val="24"/>
        </w:rPr>
      </w:pPr>
      <w:r>
        <w:rPr>
          <w:rFonts w:hint="eastAsia" w:ascii="宋体" w:hAnsi="宋体" w:cs="宋体"/>
          <w:bCs/>
          <w:sz w:val="24"/>
        </w:rPr>
        <w:t>免费的产品软件及硬件升级；</w:t>
      </w:r>
    </w:p>
    <w:p>
      <w:pPr>
        <w:numPr>
          <w:ilvl w:val="0"/>
          <w:numId w:val="15"/>
        </w:numPr>
        <w:spacing w:line="360" w:lineRule="auto"/>
        <w:textAlignment w:val="baseline"/>
        <w:rPr>
          <w:rFonts w:ascii="宋体" w:hAnsi="宋体" w:cs="宋体"/>
          <w:bCs/>
          <w:sz w:val="24"/>
        </w:rPr>
      </w:pPr>
      <w:r>
        <w:rPr>
          <w:rFonts w:hint="eastAsia" w:ascii="宋体" w:hAnsi="宋体" w:cs="宋体"/>
          <w:bCs/>
          <w:sz w:val="24"/>
        </w:rPr>
        <w:t>免费的后续技术方案指导；</w:t>
      </w:r>
    </w:p>
    <w:p>
      <w:pPr>
        <w:numPr>
          <w:ilvl w:val="0"/>
          <w:numId w:val="15"/>
        </w:numPr>
        <w:spacing w:line="360" w:lineRule="auto"/>
        <w:textAlignment w:val="baseline"/>
        <w:rPr>
          <w:rFonts w:ascii="宋体" w:hAnsi="宋体" w:cs="宋体"/>
          <w:bCs/>
          <w:sz w:val="24"/>
        </w:rPr>
      </w:pPr>
      <w:r>
        <w:rPr>
          <w:rFonts w:hint="eastAsia" w:ascii="宋体" w:hAnsi="宋体" w:cs="宋体"/>
          <w:bCs/>
          <w:sz w:val="24"/>
        </w:rPr>
        <w:t>免费的技术资料及档案共享。</w:t>
      </w:r>
    </w:p>
    <w:p>
      <w:pPr>
        <w:snapToGrid w:val="0"/>
        <w:spacing w:line="360" w:lineRule="auto"/>
        <w:textAlignment w:val="baseline"/>
        <w:rPr>
          <w:rFonts w:ascii="宋体" w:hAnsi="宋体" w:cs="宋体"/>
          <w:b/>
          <w:bCs/>
          <w:sz w:val="28"/>
          <w:szCs w:val="28"/>
        </w:rPr>
      </w:pPr>
      <w:r>
        <w:rPr>
          <w:rFonts w:hint="eastAsia" w:cs="宋体"/>
          <w:b/>
          <w:bCs/>
          <w:sz w:val="24"/>
        </w:rPr>
        <w:br w:type="textWrapping"/>
      </w:r>
    </w:p>
    <w:p>
      <w:pPr>
        <w:pStyle w:val="2"/>
      </w:pPr>
    </w:p>
    <w:p/>
    <w:p>
      <w:pPr>
        <w:pStyle w:val="2"/>
      </w:pPr>
    </w:p>
    <w:p/>
    <w:p>
      <w:pPr>
        <w:pStyle w:val="2"/>
      </w:pPr>
    </w:p>
    <w:p/>
    <w:p>
      <w:pPr>
        <w:pStyle w:val="2"/>
      </w:pPr>
    </w:p>
    <w:p/>
    <w:p>
      <w:pPr>
        <w:pStyle w:val="2"/>
      </w:pPr>
    </w:p>
    <w:p/>
    <w:p>
      <w:pPr>
        <w:pStyle w:val="2"/>
      </w:pPr>
    </w:p>
    <w:p/>
    <w:p>
      <w:pPr>
        <w:pStyle w:val="2"/>
      </w:pPr>
    </w:p>
    <w:p>
      <w:pPr>
        <w:pStyle w:val="2"/>
      </w:pPr>
    </w:p>
    <w:p/>
    <w:p>
      <w:pPr>
        <w:pStyle w:val="2"/>
      </w:pPr>
    </w:p>
    <w:p/>
    <w:p>
      <w:pPr>
        <w:snapToGrid w:val="0"/>
        <w:spacing w:line="360" w:lineRule="auto"/>
        <w:textAlignment w:val="baseline"/>
      </w:pPr>
    </w:p>
    <w:p>
      <w:pPr>
        <w:snapToGrid w:val="0"/>
        <w:spacing w:line="360" w:lineRule="auto"/>
        <w:textAlignment w:val="baseline"/>
        <w:rPr>
          <w:rFonts w:ascii="宋体" w:hAnsi="宋体" w:cs="宋体"/>
          <w:sz w:val="28"/>
          <w:szCs w:val="28"/>
        </w:rPr>
      </w:pPr>
      <w:r>
        <w:rPr>
          <w:rFonts w:hint="eastAsia" w:ascii="宋体" w:hAnsi="宋体" w:cs="宋体"/>
          <w:sz w:val="28"/>
          <w:szCs w:val="28"/>
        </w:rPr>
        <w:t xml:space="preserve">附件6：                </w:t>
      </w:r>
    </w:p>
    <w:p>
      <w:pPr>
        <w:snapToGrid w:val="0"/>
        <w:spacing w:line="360" w:lineRule="auto"/>
        <w:textAlignment w:val="baseline"/>
        <w:rPr>
          <w:rFonts w:ascii="宋体" w:hAnsi="宋体" w:cs="宋体"/>
          <w:b/>
          <w:bCs/>
          <w:sz w:val="36"/>
          <w:szCs w:val="36"/>
        </w:rPr>
      </w:pPr>
      <w:r>
        <w:rPr>
          <w:rFonts w:hint="eastAsia" w:ascii="宋体" w:hAnsi="宋体" w:cs="宋体"/>
          <w:b/>
          <w:bCs/>
          <w:sz w:val="36"/>
          <w:szCs w:val="36"/>
        </w:rPr>
        <w:t xml:space="preserve">成交通知书 </w:t>
      </w:r>
    </w:p>
    <w:p>
      <w:pPr>
        <w:textAlignment w:val="baseline"/>
        <w:rPr>
          <w:b/>
          <w:i/>
          <w:caps/>
        </w:rPr>
      </w:pPr>
      <w:r>
        <w:drawing>
          <wp:inline distT="0" distB="0" distL="0" distR="0">
            <wp:extent cx="5274310" cy="6198235"/>
            <wp:effectExtent l="19050" t="0" r="2540" b="0"/>
            <wp:docPr id="1" name="图片 1" descr="C:\Users\lenovo\AppData\Local\Temp\WeChat Files\fdc92fc199a396da786ba39fc6d8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WeChat Files\fdc92fc199a396da786ba39fc6d8734.png"/>
                    <pic:cNvPicPr>
                      <a:picLocks noChangeAspect="1" noChangeArrowheads="1"/>
                    </pic:cNvPicPr>
                  </pic:nvPicPr>
                  <pic:blipFill>
                    <a:blip r:embed="rId12"/>
                    <a:srcRect/>
                    <a:stretch>
                      <a:fillRect/>
                    </a:stretch>
                  </pic:blipFill>
                  <pic:spPr>
                    <a:xfrm>
                      <a:off x="0" y="0"/>
                      <a:ext cx="5274310" cy="6198359"/>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pPr>
                            <w:pStyle w:val="7"/>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4vdRNAAAAACAQAADwAAAAAAAAABACAAAAAiAAAAZHJzL2Rvd25y&#10;ZXYueG1sUEsBAhQAFAAAAAgAh07iQJ9XpvnNAQAAmwMAAA4AAAAAAAAAAQAgAAAAHwEAAGRycy9l&#10;Mm9Eb2MueG1sUEsFBgAAAAAGAAYAWQEAAF4FA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a:effectLst/>
                    </wps:spPr>
                    <wps:txbx>
                      <w:txbxContent>
                        <w:p>
                          <w:pPr>
                            <w:pStyle w:val="7"/>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4vdRNAAAAACAQAADwAAAAAAAAABACAAAAAiAAAAZHJzL2Rvd25y&#10;ZXYueG1sUEsBAhQAFAAAAAgAh07iQDc0YyjNAQAAmwMAAA4AAAAAAAAAAQAgAAAAHwEAAGRycy9l&#10;Mm9Eb2MueG1sUEsFBgAAAAAGAAYAWQEAAF4FAAAAAA==&#10;">
              <v:fill on="f" focussize="0,0"/>
              <v:stroke on="f"/>
              <v:imagedata o:title=""/>
              <o:lock v:ext="edit" aspectratio="f"/>
              <v:textbox inset="0mm,0mm,0mm,0mm" style="mso-fit-shape-to-text:t;">
                <w:txbxContent>
                  <w:p>
                    <w:pPr>
                      <w:pStyle w:val="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614A2F"/>
    <w:multiLevelType w:val="singleLevel"/>
    <w:tmpl w:val="0E614A2F"/>
    <w:lvl w:ilvl="0" w:tentative="0">
      <w:start w:val="14"/>
      <w:numFmt w:val="decimal"/>
      <w:lvlText w:val="%1．"/>
      <w:lvlJc w:val="left"/>
      <w:pPr>
        <w:tabs>
          <w:tab w:val="left" w:pos="480"/>
        </w:tabs>
        <w:ind w:left="480" w:hanging="480"/>
      </w:pPr>
      <w:rPr>
        <w:rFonts w:hint="eastAsia"/>
      </w:rPr>
    </w:lvl>
  </w:abstractNum>
  <w:abstractNum w:abstractNumId="1">
    <w:nsid w:val="0EC37609"/>
    <w:multiLevelType w:val="singleLevel"/>
    <w:tmpl w:val="0EC37609"/>
    <w:lvl w:ilvl="0" w:tentative="0">
      <w:start w:val="1"/>
      <w:numFmt w:val="decimal"/>
      <w:lvlText w:val="%1)"/>
      <w:legacy w:legacy="1" w:legacySpace="0" w:legacyIndent="425"/>
      <w:lvlJc w:val="left"/>
      <w:pPr>
        <w:ind w:left="425" w:hanging="425"/>
      </w:pPr>
    </w:lvl>
  </w:abstractNum>
  <w:abstractNum w:abstractNumId="2">
    <w:nsid w:val="108B5204"/>
    <w:multiLevelType w:val="singleLevel"/>
    <w:tmpl w:val="108B5204"/>
    <w:lvl w:ilvl="0" w:tentative="0">
      <w:start w:val="1"/>
      <w:numFmt w:val="decimal"/>
      <w:lvlText w:val="%1)"/>
      <w:legacy w:legacy="1" w:legacySpace="0" w:legacyIndent="425"/>
      <w:lvlJc w:val="left"/>
      <w:pPr>
        <w:ind w:left="425" w:hanging="425"/>
      </w:pPr>
    </w:lvl>
  </w:abstractNum>
  <w:abstractNum w:abstractNumId="3">
    <w:nsid w:val="183E40B1"/>
    <w:multiLevelType w:val="multilevel"/>
    <w:tmpl w:val="183E40B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1D4B772B"/>
    <w:multiLevelType w:val="singleLevel"/>
    <w:tmpl w:val="1D4B772B"/>
    <w:lvl w:ilvl="0" w:tentative="0">
      <w:start w:val="1"/>
      <w:numFmt w:val="decimal"/>
      <w:lvlText w:val="%1)"/>
      <w:legacy w:legacy="1" w:legacySpace="0" w:legacyIndent="425"/>
      <w:lvlJc w:val="left"/>
      <w:pPr>
        <w:ind w:left="425" w:hanging="425"/>
      </w:pPr>
    </w:lvl>
  </w:abstractNum>
  <w:abstractNum w:abstractNumId="5">
    <w:nsid w:val="253D5EBD"/>
    <w:multiLevelType w:val="multilevel"/>
    <w:tmpl w:val="253D5EBD"/>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365F207F"/>
    <w:multiLevelType w:val="multilevel"/>
    <w:tmpl w:val="365F207F"/>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3E893D60"/>
    <w:multiLevelType w:val="singleLevel"/>
    <w:tmpl w:val="3E893D60"/>
    <w:lvl w:ilvl="0" w:tentative="0">
      <w:start w:val="1"/>
      <w:numFmt w:val="decimal"/>
      <w:lvlText w:val="%1)"/>
      <w:legacy w:legacy="1" w:legacySpace="0" w:legacyIndent="425"/>
      <w:lvlJc w:val="left"/>
      <w:pPr>
        <w:ind w:left="425" w:hanging="425"/>
      </w:pPr>
    </w:lvl>
  </w:abstractNum>
  <w:abstractNum w:abstractNumId="8">
    <w:nsid w:val="3EFC0A49"/>
    <w:multiLevelType w:val="singleLevel"/>
    <w:tmpl w:val="3EFC0A49"/>
    <w:lvl w:ilvl="0" w:tentative="0">
      <w:start w:val="1"/>
      <w:numFmt w:val="decimal"/>
      <w:lvlText w:val="%1．"/>
      <w:lvlJc w:val="left"/>
      <w:pPr>
        <w:tabs>
          <w:tab w:val="left" w:pos="360"/>
        </w:tabs>
        <w:ind w:left="360" w:hanging="360"/>
      </w:pPr>
      <w:rPr>
        <w:rFonts w:hint="eastAsia"/>
      </w:rPr>
    </w:lvl>
  </w:abstractNum>
  <w:abstractNum w:abstractNumId="9">
    <w:nsid w:val="467B231C"/>
    <w:multiLevelType w:val="singleLevel"/>
    <w:tmpl w:val="467B231C"/>
    <w:lvl w:ilvl="0" w:tentative="0">
      <w:start w:val="1"/>
      <w:numFmt w:val="decimal"/>
      <w:lvlText w:val="%1)"/>
      <w:legacy w:legacy="1" w:legacySpace="0" w:legacyIndent="425"/>
      <w:lvlJc w:val="left"/>
      <w:pPr>
        <w:ind w:left="425" w:hanging="425"/>
      </w:pPr>
    </w:lvl>
  </w:abstractNum>
  <w:abstractNum w:abstractNumId="10">
    <w:nsid w:val="5535C9C0"/>
    <w:multiLevelType w:val="singleLevel"/>
    <w:tmpl w:val="5535C9C0"/>
    <w:lvl w:ilvl="0" w:tentative="0">
      <w:start w:val="3"/>
      <w:numFmt w:val="chineseCounting"/>
      <w:suff w:val="nothing"/>
      <w:lvlText w:val="%1、"/>
      <w:lvlJc w:val="left"/>
    </w:lvl>
  </w:abstractNum>
  <w:abstractNum w:abstractNumId="11">
    <w:nsid w:val="5536FE69"/>
    <w:multiLevelType w:val="singleLevel"/>
    <w:tmpl w:val="5536FE69"/>
    <w:lvl w:ilvl="0" w:tentative="0">
      <w:start w:val="7"/>
      <w:numFmt w:val="chineseCounting"/>
      <w:suff w:val="nothing"/>
      <w:lvlText w:val="%1、"/>
      <w:lvlJc w:val="left"/>
    </w:lvl>
  </w:abstractNum>
  <w:abstractNum w:abstractNumId="12">
    <w:nsid w:val="74EA192A"/>
    <w:multiLevelType w:val="multilevel"/>
    <w:tmpl w:val="74EA192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7AB246DB"/>
    <w:multiLevelType w:val="singleLevel"/>
    <w:tmpl w:val="7AB246DB"/>
    <w:lvl w:ilvl="0" w:tentative="0">
      <w:start w:val="1"/>
      <w:numFmt w:val="decimal"/>
      <w:lvlText w:val="%1)"/>
      <w:legacy w:legacy="1" w:legacySpace="0" w:legacyIndent="425"/>
      <w:lvlJc w:val="left"/>
      <w:pPr>
        <w:ind w:left="425" w:hanging="425"/>
      </w:pPr>
    </w:lvl>
  </w:abstractNum>
  <w:abstractNum w:abstractNumId="14">
    <w:nsid w:val="7D050494"/>
    <w:multiLevelType w:val="multilevel"/>
    <w:tmpl w:val="7D05049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0"/>
  </w:num>
  <w:num w:numId="2">
    <w:abstractNumId w:val="11"/>
  </w:num>
  <w:num w:numId="3">
    <w:abstractNumId w:val="12"/>
  </w:num>
  <w:num w:numId="4">
    <w:abstractNumId w:val="6"/>
  </w:num>
  <w:num w:numId="5">
    <w:abstractNumId w:val="14"/>
  </w:num>
  <w:num w:numId="6">
    <w:abstractNumId w:val="4"/>
  </w:num>
  <w:num w:numId="7">
    <w:abstractNumId w:val="1"/>
  </w:num>
  <w:num w:numId="8">
    <w:abstractNumId w:val="13"/>
  </w:num>
  <w:num w:numId="9">
    <w:abstractNumId w:val="7"/>
  </w:num>
  <w:num w:numId="10">
    <w:abstractNumId w:val="9"/>
  </w:num>
  <w:num w:numId="11">
    <w:abstractNumId w:val="2"/>
  </w:num>
  <w:num w:numId="12">
    <w:abstractNumId w:val="8"/>
  </w:num>
  <w:num w:numId="13">
    <w:abstractNumId w:val="0"/>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C41"/>
    <w:rsid w:val="0000290C"/>
    <w:rsid w:val="000374E0"/>
    <w:rsid w:val="00045D14"/>
    <w:rsid w:val="00061362"/>
    <w:rsid w:val="0006531E"/>
    <w:rsid w:val="000913B1"/>
    <w:rsid w:val="00094E62"/>
    <w:rsid w:val="000A6584"/>
    <w:rsid w:val="000D4FF4"/>
    <w:rsid w:val="00100F99"/>
    <w:rsid w:val="00160CDF"/>
    <w:rsid w:val="001768B5"/>
    <w:rsid w:val="001C0182"/>
    <w:rsid w:val="001F7367"/>
    <w:rsid w:val="002059B3"/>
    <w:rsid w:val="00215D7C"/>
    <w:rsid w:val="00284014"/>
    <w:rsid w:val="002932CE"/>
    <w:rsid w:val="00297F06"/>
    <w:rsid w:val="002C4D39"/>
    <w:rsid w:val="002D1DEA"/>
    <w:rsid w:val="002E3B3E"/>
    <w:rsid w:val="002E5E3A"/>
    <w:rsid w:val="00310148"/>
    <w:rsid w:val="00356FEE"/>
    <w:rsid w:val="0037069B"/>
    <w:rsid w:val="00371B4C"/>
    <w:rsid w:val="00374E1F"/>
    <w:rsid w:val="00382E23"/>
    <w:rsid w:val="003860B6"/>
    <w:rsid w:val="0038762D"/>
    <w:rsid w:val="004176D2"/>
    <w:rsid w:val="0045318D"/>
    <w:rsid w:val="00474FCD"/>
    <w:rsid w:val="004A3CD8"/>
    <w:rsid w:val="004C5A70"/>
    <w:rsid w:val="004D3DE4"/>
    <w:rsid w:val="00516179"/>
    <w:rsid w:val="00532788"/>
    <w:rsid w:val="0053654A"/>
    <w:rsid w:val="0058680E"/>
    <w:rsid w:val="005B7293"/>
    <w:rsid w:val="005F05FF"/>
    <w:rsid w:val="00656097"/>
    <w:rsid w:val="00676511"/>
    <w:rsid w:val="006A050C"/>
    <w:rsid w:val="006E47A0"/>
    <w:rsid w:val="007338CF"/>
    <w:rsid w:val="007417F6"/>
    <w:rsid w:val="007925D3"/>
    <w:rsid w:val="00817AA8"/>
    <w:rsid w:val="008558AA"/>
    <w:rsid w:val="00855948"/>
    <w:rsid w:val="0089145D"/>
    <w:rsid w:val="00893660"/>
    <w:rsid w:val="008C5D66"/>
    <w:rsid w:val="00957C05"/>
    <w:rsid w:val="00990721"/>
    <w:rsid w:val="0099511F"/>
    <w:rsid w:val="009B4C33"/>
    <w:rsid w:val="009C024A"/>
    <w:rsid w:val="00A04A40"/>
    <w:rsid w:val="00A55C41"/>
    <w:rsid w:val="00A80345"/>
    <w:rsid w:val="00AC2CDA"/>
    <w:rsid w:val="00AC7DEF"/>
    <w:rsid w:val="00AF437B"/>
    <w:rsid w:val="00B06B68"/>
    <w:rsid w:val="00B165CD"/>
    <w:rsid w:val="00B440CC"/>
    <w:rsid w:val="00B451DE"/>
    <w:rsid w:val="00B47764"/>
    <w:rsid w:val="00B75E43"/>
    <w:rsid w:val="00B75EEC"/>
    <w:rsid w:val="00BA21F4"/>
    <w:rsid w:val="00BF58FF"/>
    <w:rsid w:val="00C13311"/>
    <w:rsid w:val="00C33360"/>
    <w:rsid w:val="00C57805"/>
    <w:rsid w:val="00C67AFA"/>
    <w:rsid w:val="00C809F2"/>
    <w:rsid w:val="00CF07F5"/>
    <w:rsid w:val="00D007D1"/>
    <w:rsid w:val="00D20695"/>
    <w:rsid w:val="00D37C68"/>
    <w:rsid w:val="00D567AB"/>
    <w:rsid w:val="00D80136"/>
    <w:rsid w:val="00D901C1"/>
    <w:rsid w:val="00D950ED"/>
    <w:rsid w:val="00D976EF"/>
    <w:rsid w:val="00DB1424"/>
    <w:rsid w:val="00DE03C7"/>
    <w:rsid w:val="00DF06FA"/>
    <w:rsid w:val="00E22E1A"/>
    <w:rsid w:val="00E32CF1"/>
    <w:rsid w:val="00E505EF"/>
    <w:rsid w:val="00E51C39"/>
    <w:rsid w:val="00E62D88"/>
    <w:rsid w:val="00E96F0F"/>
    <w:rsid w:val="00ED438C"/>
    <w:rsid w:val="00EE5EC8"/>
    <w:rsid w:val="00F274C5"/>
    <w:rsid w:val="00F41D7D"/>
    <w:rsid w:val="00F42E90"/>
    <w:rsid w:val="00FA34BE"/>
    <w:rsid w:val="00FC7EBE"/>
    <w:rsid w:val="2A0762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nhideWhenUsed="0" w:uiPriority="99" w:semiHidden="0"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14"/>
    <w:qFormat/>
    <w:uiPriority w:val="0"/>
    <w:pPr>
      <w:keepNext/>
      <w:keepLines/>
      <w:spacing w:line="360" w:lineRule="auto"/>
      <w:outlineLvl w:val="1"/>
    </w:pPr>
    <w:rPr>
      <w:rFonts w:ascii="Arial" w:hAnsi="Arial"/>
      <w:b/>
      <w:bCs/>
      <w:sz w:val="24"/>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jc w:val="center"/>
      <w:textAlignment w:val="baseline"/>
    </w:pPr>
    <w:rPr>
      <w:rFonts w:asciiTheme="minorEastAsia" w:hAnsiTheme="minorEastAsia" w:eastAsiaTheme="minorEastAsia"/>
      <w:b/>
      <w:sz w:val="24"/>
      <w:szCs w:val="18"/>
    </w:rPr>
  </w:style>
  <w:style w:type="paragraph" w:styleId="4">
    <w:name w:val="Body Text"/>
    <w:basedOn w:val="1"/>
    <w:link w:val="13"/>
    <w:qFormat/>
    <w:uiPriority w:val="0"/>
    <w:pPr>
      <w:spacing w:after="120"/>
    </w:pPr>
  </w:style>
  <w:style w:type="paragraph" w:styleId="5">
    <w:name w:val="Body Text Indent 2"/>
    <w:basedOn w:val="1"/>
    <w:link w:val="18"/>
    <w:semiHidden/>
    <w:unhideWhenUsed/>
    <w:qFormat/>
    <w:uiPriority w:val="99"/>
    <w:pPr>
      <w:spacing w:after="120" w:line="480" w:lineRule="auto"/>
      <w:ind w:left="420" w:leftChars="200"/>
    </w:pPr>
  </w:style>
  <w:style w:type="paragraph" w:styleId="6">
    <w:name w:val="Balloon Text"/>
    <w:basedOn w:val="1"/>
    <w:link w:val="16"/>
    <w:semiHidden/>
    <w:unhideWhenUsed/>
    <w:qFormat/>
    <w:uiPriority w:val="99"/>
    <w:rPr>
      <w:sz w:val="18"/>
      <w:szCs w:val="18"/>
    </w:rPr>
  </w:style>
  <w:style w:type="paragraph" w:styleId="7">
    <w:name w:val="footer"/>
    <w:basedOn w:val="1"/>
    <w:link w:val="12"/>
    <w:unhideWhenUsed/>
    <w:qFormat/>
    <w:uiPriority w:val="0"/>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semiHidden/>
    <w:qFormat/>
    <w:uiPriority w:val="99"/>
    <w:rPr>
      <w:sz w:val="18"/>
      <w:szCs w:val="18"/>
    </w:rPr>
  </w:style>
  <w:style w:type="character" w:customStyle="1" w:styleId="12">
    <w:name w:val="页脚 Char"/>
    <w:basedOn w:val="10"/>
    <w:link w:val="7"/>
    <w:semiHidden/>
    <w:uiPriority w:val="99"/>
    <w:rPr>
      <w:sz w:val="18"/>
      <w:szCs w:val="18"/>
    </w:rPr>
  </w:style>
  <w:style w:type="character" w:customStyle="1" w:styleId="13">
    <w:name w:val="正文文本 Char"/>
    <w:basedOn w:val="10"/>
    <w:link w:val="4"/>
    <w:uiPriority w:val="0"/>
    <w:rPr>
      <w:rFonts w:ascii="Times New Roman" w:hAnsi="Times New Roman" w:eastAsia="宋体" w:cs="Times New Roman"/>
      <w:szCs w:val="24"/>
    </w:rPr>
  </w:style>
  <w:style w:type="character" w:customStyle="1" w:styleId="14">
    <w:name w:val="标题 2 Char"/>
    <w:basedOn w:val="10"/>
    <w:link w:val="3"/>
    <w:uiPriority w:val="0"/>
    <w:rPr>
      <w:rFonts w:ascii="Arial" w:hAnsi="Arial" w:eastAsia="宋体" w:cs="Times New Roman"/>
      <w:b/>
      <w:bCs/>
      <w:sz w:val="24"/>
      <w:szCs w:val="32"/>
    </w:rPr>
  </w:style>
  <w:style w:type="paragraph" w:styleId="15">
    <w:name w:val="List Paragraph"/>
    <w:basedOn w:val="1"/>
    <w:unhideWhenUsed/>
    <w:qFormat/>
    <w:uiPriority w:val="99"/>
    <w:pPr>
      <w:ind w:firstLine="420" w:firstLineChars="200"/>
    </w:pPr>
  </w:style>
  <w:style w:type="character" w:customStyle="1" w:styleId="16">
    <w:name w:val="批注框文本 Char"/>
    <w:basedOn w:val="10"/>
    <w:link w:val="6"/>
    <w:semiHidden/>
    <w:qFormat/>
    <w:uiPriority w:val="99"/>
    <w:rPr>
      <w:rFonts w:ascii="Times New Roman" w:hAnsi="Times New Roman" w:eastAsia="宋体" w:cs="Times New Roman"/>
      <w:sz w:val="18"/>
      <w:szCs w:val="18"/>
    </w:rPr>
  </w:style>
  <w:style w:type="paragraph" w:customStyle="1" w:styleId="17">
    <w:name w:val="缺省文本"/>
    <w:basedOn w:val="1"/>
    <w:qFormat/>
    <w:uiPriority w:val="0"/>
    <w:pPr>
      <w:autoSpaceDE w:val="0"/>
      <w:autoSpaceDN w:val="0"/>
      <w:adjustRightInd w:val="0"/>
      <w:jc w:val="left"/>
    </w:pPr>
    <w:rPr>
      <w:kern w:val="0"/>
      <w:sz w:val="24"/>
    </w:rPr>
  </w:style>
  <w:style w:type="character" w:customStyle="1" w:styleId="18">
    <w:name w:val="正文文本缩进 2 Char"/>
    <w:basedOn w:val="10"/>
    <w:link w:val="5"/>
    <w:semiHidden/>
    <w:qFormat/>
    <w:uiPriority w:val="99"/>
    <w:rPr>
      <w:rFonts w:ascii="Times New Roman" w:hAnsi="Times New Roman" w:eastAsia="宋体" w:cs="Times New Roman"/>
      <w:szCs w:val="24"/>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customXml" Target="../customXml/item1.xml"/>
  <Relationship Id="rId14" Type="http://schemas.openxmlformats.org/officeDocument/2006/relationships/numbering" Target="numbering.xml"/>
  <Relationship Id="rId15" Type="http://schemas.openxmlformats.org/officeDocument/2006/relationships/customXml" Target="../customXml/item2.xml"/>
  <Relationship Id="rId16"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header" Target="header2.xml"/>
  <Relationship Id="rId6" Type="http://schemas.openxmlformats.org/officeDocument/2006/relationships/footer" Target="footer2.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FE2CE7-EDA0-460A-8A7F-E5DC966911F9}">
  <ds:schemaRefs/>
</ds:datastoreItem>
</file>

<file path=docProps/app.xml><?xml version="1.0" encoding="utf-8"?>
<Properties xmlns="http://schemas.openxmlformats.org/officeDocument/2006/extended-properties" xmlns:vt="http://schemas.openxmlformats.org/officeDocument/2006/docPropsVTypes">
  <Template>Normal</Template>
  <Pages>18</Pages>
  <Words>1198</Words>
  <Characters>6830</Characters>
  <Lines>56</Lines>
  <Paragraphs>16</Paragraphs>
  <TotalTime>1</TotalTime>
  <ScaleCrop>false</ScaleCrop>
  <LinksUpToDate>false</LinksUpToDate>
  <CharactersWithSpaces>8012</CharactersWithSpaces>
  <Application>WPS Office_11.1.0.11115_F1E327BC-269C-435d-A152-05C5408002CA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2021-11-24T02:51:00Z</dcterms:created>
  <dc:creator>lenovo</dc:creator>
  <lastModifiedBy>OUYANG_ZZU</lastModifiedBy>
  <lastPrinted>2021-11-24T02:51:00Z</lastPrinted>
  <dcterms:modified xsi:type="dcterms:W3CDTF">2021-12-14T00:54:28Z</dcterms:modified>
  <revision>29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F694F60E79B44D30B837165B98E446F9</vt:lpwstr>
  </property>
</Properties>
</file>