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A5" w:rsidRPr="00951C70" w:rsidRDefault="00455EA5" w:rsidP="00455EA5">
      <w:pPr>
        <w:rPr>
          <w:rFonts w:ascii="黑体" w:eastAsia="黑体" w:hAnsi="Times New Roman" w:cs="黑体"/>
          <w:szCs w:val="21"/>
        </w:rPr>
      </w:pPr>
      <w:r w:rsidRPr="00951C70">
        <w:rPr>
          <w:rFonts w:ascii="黑体" w:eastAsia="黑体" w:hAnsi="Times New Roman" w:cs="黑体" w:hint="eastAsia"/>
          <w:szCs w:val="21"/>
        </w:rPr>
        <w:t>附表8</w:t>
      </w:r>
    </w:p>
    <w:p w:rsidR="00455EA5" w:rsidRPr="00951C70" w:rsidRDefault="00455EA5" w:rsidP="00455EA5">
      <w:pPr>
        <w:spacing w:afterLines="50" w:line="600" w:lineRule="exact"/>
        <w:jc w:val="center"/>
        <w:rPr>
          <w:rFonts w:ascii="方正小标宋简体" w:eastAsia="方正小标宋简体" w:hAnsi="文星标宋" w:cs="Times New Roman"/>
          <w:sz w:val="36"/>
          <w:szCs w:val="36"/>
        </w:rPr>
      </w:pPr>
      <w:r w:rsidRPr="00951C70">
        <w:rPr>
          <w:rFonts w:ascii="方正小标宋简体" w:eastAsia="方正小标宋简体" w:hAnsi="文星标宋" w:cs="方正小标宋简体" w:hint="eastAsia"/>
          <w:sz w:val="36"/>
          <w:szCs w:val="36"/>
        </w:rPr>
        <w:t>节支测算</w:t>
      </w:r>
    </w:p>
    <w:p w:rsidR="00455EA5" w:rsidRPr="00951C70" w:rsidRDefault="00455EA5" w:rsidP="00455EA5">
      <w:pPr>
        <w:wordWrap w:val="0"/>
        <w:jc w:val="right"/>
        <w:rPr>
          <w:rFonts w:ascii="Times New Roman" w:eastAsia="仿宋_GB2312" w:hAnsi="Times New Roman" w:cs="Times New Roman"/>
          <w:szCs w:val="21"/>
        </w:rPr>
      </w:pPr>
      <w:r w:rsidRPr="00951C70">
        <w:rPr>
          <w:rFonts w:ascii="Times New Roman" w:eastAsia="仿宋_GB2312" w:hAnsi="Times New Roman" w:cs="仿宋_GB2312" w:hint="eastAsia"/>
          <w:szCs w:val="21"/>
        </w:rPr>
        <w:t>填表人：</w:t>
      </w:r>
      <w:r w:rsidRPr="00951C70">
        <w:rPr>
          <w:rFonts w:ascii="Times New Roman" w:eastAsia="仿宋_GB2312" w:hAnsi="Times New Roman" w:cs="Times New Roman"/>
          <w:szCs w:val="21"/>
        </w:rPr>
        <w:t xml:space="preserve">              </w:t>
      </w:r>
      <w:r w:rsidRPr="00951C70">
        <w:rPr>
          <w:rFonts w:ascii="Times New Roman" w:eastAsia="仿宋_GB2312" w:hAnsi="Times New Roman" w:cs="仿宋_GB2312" w:hint="eastAsia"/>
          <w:szCs w:val="21"/>
        </w:rPr>
        <w:t>联系电话：</w:t>
      </w:r>
      <w:r w:rsidRPr="00951C70">
        <w:rPr>
          <w:rFonts w:ascii="Times New Roman" w:eastAsia="仿宋_GB2312" w:hAnsi="Times New Roman" w:cs="Times New Roman"/>
          <w:szCs w:val="21"/>
        </w:rPr>
        <w:t xml:space="preserve">              </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080"/>
        <w:gridCol w:w="1080"/>
        <w:gridCol w:w="1080"/>
        <w:gridCol w:w="1080"/>
        <w:gridCol w:w="1080"/>
        <w:gridCol w:w="1080"/>
        <w:gridCol w:w="1080"/>
        <w:gridCol w:w="1080"/>
        <w:gridCol w:w="1080"/>
        <w:gridCol w:w="1080"/>
        <w:gridCol w:w="1080"/>
        <w:gridCol w:w="1080"/>
      </w:tblGrid>
      <w:tr w:rsidR="00455EA5" w:rsidRPr="00951C70" w:rsidTr="009A738A">
        <w:trPr>
          <w:trHeight w:val="487"/>
        </w:trPr>
        <w:tc>
          <w:tcPr>
            <w:tcW w:w="6480" w:type="dxa"/>
            <w:gridSpan w:val="6"/>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8"/>
                <w:szCs w:val="28"/>
              </w:rPr>
            </w:pPr>
            <w:r w:rsidRPr="00951C70">
              <w:rPr>
                <w:rFonts w:ascii="黑体" w:eastAsia="黑体" w:hAnsi="Times New Roman" w:cs="黑体" w:hint="eastAsia"/>
                <w:color w:val="000000"/>
                <w:kern w:val="0"/>
                <w:sz w:val="28"/>
                <w:szCs w:val="28"/>
              </w:rPr>
              <w:t>改革前公务交通总支出（单位：元）</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8"/>
                <w:szCs w:val="28"/>
              </w:rPr>
            </w:pPr>
            <w:r w:rsidRPr="00951C70">
              <w:rPr>
                <w:rFonts w:ascii="黑体" w:eastAsia="黑体" w:hAnsi="Times New Roman" w:cs="黑体" w:hint="eastAsia"/>
                <w:color w:val="000000"/>
                <w:kern w:val="0"/>
                <w:sz w:val="28"/>
                <w:szCs w:val="28"/>
              </w:rPr>
              <w:t>改革后公务交通总支出（单位：元）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8"/>
                <w:szCs w:val="28"/>
              </w:rPr>
            </w:pPr>
            <w:r w:rsidRPr="00951C70">
              <w:rPr>
                <w:rFonts w:ascii="黑体" w:eastAsia="黑体" w:hAnsi="Times New Roman" w:cs="黑体" w:hint="eastAsia"/>
                <w:color w:val="000000"/>
                <w:kern w:val="0"/>
                <w:sz w:val="28"/>
                <w:szCs w:val="28"/>
              </w:rPr>
              <w:t>节支（单位：元）</w:t>
            </w:r>
          </w:p>
        </w:tc>
      </w:tr>
      <w:tr w:rsidR="00455EA5" w:rsidRPr="00951C70" w:rsidTr="009A738A">
        <w:trPr>
          <w:trHeight w:val="1290"/>
        </w:trPr>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小计</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spacing w:val="-20"/>
                <w:kern w:val="0"/>
                <w:sz w:val="24"/>
                <w:szCs w:val="24"/>
              </w:rPr>
            </w:pPr>
            <w:r w:rsidRPr="00951C70">
              <w:rPr>
                <w:rFonts w:ascii="黑体" w:eastAsia="黑体" w:hAnsi="Times New Roman" w:cs="黑体" w:hint="eastAsia"/>
                <w:color w:val="000000"/>
                <w:spacing w:val="-20"/>
                <w:kern w:val="0"/>
                <w:sz w:val="24"/>
                <w:szCs w:val="24"/>
              </w:rPr>
              <w:t>涉改公务用车实际更新和新增购置费</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涉改公务用车运行费</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涉改司勤人员开支</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已</w:t>
            </w:r>
            <w:r w:rsidRPr="00951C70">
              <w:rPr>
                <w:rFonts w:ascii="黑体" w:eastAsia="黑体" w:hAnsi="Times New Roman" w:cs="黑体" w:hint="eastAsia"/>
                <w:color w:val="000000"/>
                <w:spacing w:val="-20"/>
                <w:kern w:val="0"/>
                <w:sz w:val="24"/>
                <w:szCs w:val="24"/>
              </w:rPr>
              <w:t>实行车改部门交通补贴</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其他相关支出</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小计</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spacing w:val="-20"/>
                <w:kern w:val="0"/>
                <w:sz w:val="24"/>
                <w:szCs w:val="24"/>
              </w:rPr>
              <w:t>改革后公务交通补贴支出和公务交通报销支出</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保留涉改车辆支出</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保留司勤人员的支出</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其他相关支出</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Times New Roman"/>
                <w:color w:val="000000"/>
                <w:kern w:val="0"/>
                <w:sz w:val="24"/>
                <w:szCs w:val="24"/>
              </w:rPr>
            </w:pPr>
            <w:r w:rsidRPr="00951C70">
              <w:rPr>
                <w:rFonts w:ascii="黑体" w:eastAsia="黑体" w:hAnsi="Times New Roman" w:cs="黑体" w:hint="eastAsia"/>
                <w:color w:val="000000"/>
                <w:kern w:val="0"/>
                <w:sz w:val="24"/>
                <w:szCs w:val="24"/>
              </w:rPr>
              <w:t>金额</w:t>
            </w: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center"/>
              <w:rPr>
                <w:rFonts w:ascii="黑体" w:eastAsia="黑体" w:hAnsi="Times New Roman" w:cs="黑体"/>
                <w:color w:val="000000"/>
                <w:kern w:val="0"/>
                <w:sz w:val="24"/>
                <w:szCs w:val="24"/>
              </w:rPr>
            </w:pPr>
            <w:r w:rsidRPr="00951C70">
              <w:rPr>
                <w:rFonts w:ascii="黑体" w:eastAsia="黑体" w:hAnsi="Times New Roman" w:cs="黑体" w:hint="eastAsia"/>
                <w:color w:val="000000"/>
                <w:kern w:val="0"/>
                <w:sz w:val="24"/>
                <w:szCs w:val="24"/>
              </w:rPr>
              <w:t>节支率(%)</w:t>
            </w:r>
          </w:p>
        </w:tc>
      </w:tr>
      <w:tr w:rsidR="00455EA5" w:rsidRPr="00951C70" w:rsidTr="009A738A">
        <w:trPr>
          <w:trHeight w:val="1083"/>
        </w:trPr>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455EA5" w:rsidRPr="00951C70" w:rsidRDefault="00455EA5" w:rsidP="009A738A">
            <w:pPr>
              <w:widowControl/>
              <w:jc w:val="left"/>
              <w:rPr>
                <w:rFonts w:ascii="Times New Roman" w:eastAsia="仿宋_GB2312" w:hAnsi="Times New Roman" w:cs="Times New Roman"/>
                <w:color w:val="000000"/>
                <w:kern w:val="0"/>
                <w:sz w:val="32"/>
                <w:szCs w:val="32"/>
              </w:rPr>
            </w:pPr>
          </w:p>
        </w:tc>
      </w:tr>
    </w:tbl>
    <w:p w:rsidR="00455EA5" w:rsidRPr="00951C70" w:rsidRDefault="00455EA5" w:rsidP="00455EA5">
      <w:pPr>
        <w:rPr>
          <w:rFonts w:ascii="Times New Roman" w:eastAsia="仿宋_GB2312" w:hAnsi="Times New Roman" w:cs="Times New Roman"/>
          <w:sz w:val="32"/>
          <w:szCs w:val="32"/>
        </w:rPr>
      </w:pPr>
    </w:p>
    <w:p w:rsidR="00455EA5" w:rsidRPr="00951C70" w:rsidRDefault="00455EA5" w:rsidP="00455EA5">
      <w:pPr>
        <w:rPr>
          <w:rFonts w:ascii="Times New Roman" w:eastAsia="仿宋_GB2312" w:hAnsi="Times New Roman" w:cs="Times New Roman"/>
          <w:szCs w:val="21"/>
        </w:rPr>
      </w:pPr>
      <w:r w:rsidRPr="00951C70">
        <w:rPr>
          <w:rFonts w:ascii="Times New Roman" w:eastAsia="仿宋_GB2312" w:hAnsi="Times New Roman" w:cs="仿宋_GB2312" w:hint="eastAsia"/>
          <w:szCs w:val="21"/>
        </w:rPr>
        <w:t>填表说明：改革后公务交通补贴支出和公务交通报销支出</w:t>
      </w:r>
      <w:r w:rsidRPr="00951C70">
        <w:rPr>
          <w:rFonts w:ascii="Times New Roman" w:eastAsia="仿宋_GB2312" w:hAnsi="Times New Roman" w:cs="Times New Roman"/>
          <w:szCs w:val="21"/>
        </w:rPr>
        <w:t>=</w:t>
      </w:r>
      <w:r w:rsidRPr="00951C70">
        <w:rPr>
          <w:rFonts w:ascii="Times New Roman" w:eastAsia="仿宋_GB2312" w:hAnsi="Times New Roman" w:cs="仿宋_GB2312" w:hint="eastAsia"/>
          <w:szCs w:val="21"/>
        </w:rPr>
        <w:t>各层级参改人员发放补贴总额和预计的公务交通费报销总额。保留涉改车辆的支出指涉改车辆改革后保留的主要负责人工作用车、业务用车、特种专业技术用车、离退休干部服务用车及其他车辆的运行费和平均年更新车辆的购置费。其他相关支出指集体公务出行租车费等与公务交通相关的其他直接支出。车改后，车辆更新统一按使用年限</w:t>
      </w:r>
      <w:r w:rsidRPr="00951C70">
        <w:rPr>
          <w:rFonts w:ascii="Times New Roman" w:eastAsia="仿宋_GB2312" w:hAnsi="Times New Roman" w:cs="Times New Roman"/>
          <w:szCs w:val="21"/>
        </w:rPr>
        <w:t>10</w:t>
      </w:r>
      <w:r w:rsidRPr="00951C70">
        <w:rPr>
          <w:rFonts w:ascii="Times New Roman" w:eastAsia="仿宋_GB2312" w:hAnsi="Times New Roman" w:cs="仿宋_GB2312" w:hint="eastAsia"/>
          <w:szCs w:val="21"/>
        </w:rPr>
        <w:t>年、单价</w:t>
      </w:r>
      <w:r w:rsidRPr="00951C70">
        <w:rPr>
          <w:rFonts w:ascii="Times New Roman" w:eastAsia="仿宋_GB2312" w:hAnsi="Times New Roman" w:cs="Times New Roman"/>
          <w:szCs w:val="21"/>
        </w:rPr>
        <w:t>18</w:t>
      </w:r>
      <w:r w:rsidRPr="00951C70">
        <w:rPr>
          <w:rFonts w:ascii="Times New Roman" w:eastAsia="仿宋_GB2312" w:hAnsi="Times New Roman" w:cs="仿宋_GB2312" w:hint="eastAsia"/>
          <w:szCs w:val="21"/>
        </w:rPr>
        <w:t>万元测算。</w:t>
      </w:r>
    </w:p>
    <w:p w:rsidR="00455EA5" w:rsidRPr="00951C70" w:rsidRDefault="00455EA5" w:rsidP="00455EA5"/>
    <w:p w:rsidR="00A364BA" w:rsidRPr="00455EA5" w:rsidRDefault="00A364BA"/>
    <w:sectPr w:rsidR="00A364BA" w:rsidRPr="00455EA5" w:rsidSect="00951C70">
      <w:pgSz w:w="16838" w:h="11906" w:orient="landscape" w:code="9"/>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C4F" w:rsidRDefault="00440C4F" w:rsidP="00455EA5">
      <w:r>
        <w:separator/>
      </w:r>
    </w:p>
  </w:endnote>
  <w:endnote w:type="continuationSeparator" w:id="0">
    <w:p w:rsidR="00440C4F" w:rsidRDefault="00440C4F" w:rsidP="00455E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文星标宋">
    <w:altName w:val="方正报宋简体"/>
    <w:panose1 w:val="00000000000000000000"/>
    <w:charset w:val="86"/>
    <w:family w:val="auto"/>
    <w:notTrueType/>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C4F" w:rsidRDefault="00440C4F" w:rsidP="00455EA5">
      <w:r>
        <w:separator/>
      </w:r>
    </w:p>
  </w:footnote>
  <w:footnote w:type="continuationSeparator" w:id="0">
    <w:p w:rsidR="00440C4F" w:rsidRDefault="00440C4F" w:rsidP="00455E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EA5"/>
    <w:rsid w:val="00440C4F"/>
    <w:rsid w:val="00455EA5"/>
    <w:rsid w:val="00A36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5EA5"/>
    <w:rPr>
      <w:sz w:val="18"/>
      <w:szCs w:val="18"/>
    </w:rPr>
  </w:style>
  <w:style w:type="paragraph" w:styleId="a4">
    <w:name w:val="footer"/>
    <w:basedOn w:val="a"/>
    <w:link w:val="Char0"/>
    <w:uiPriority w:val="99"/>
    <w:semiHidden/>
    <w:unhideWhenUsed/>
    <w:rsid w:val="00455E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5E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2018-10-11T01:55:00Z</dcterms:created>
  <dcterms:modified xsi:type="dcterms:W3CDTF">2018-10-11T01:55:00Z</dcterms:modified>
</cp:coreProperties>
</file>