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隶书"/>
          <w:sz w:val="52"/>
        </w:rPr>
      </w:pPr>
      <w:r>
        <w:rPr>
          <w:rFonts w:hint="eastAsia" w:ascii="宋体" w:hAnsi="宋体"/>
          <w:b/>
          <w:sz w:val="28"/>
          <w:szCs w:val="28"/>
        </w:rPr>
        <w:t>合同编号</w:t>
      </w:r>
      <w:r>
        <w:rPr>
          <w:rFonts w:ascii="宋体" w:hAnsi="宋体"/>
          <w:b/>
          <w:sz w:val="28"/>
          <w:szCs w:val="28"/>
          <w:u w:val="single"/>
        </w:rPr>
        <w:t>：</w:t>
      </w:r>
      <w:r>
        <w:rPr>
          <w:rFonts w:hint="eastAsia" w:ascii="宋体" w:hAnsi="宋体" w:cs="宋体"/>
          <w:b/>
          <w:color w:val="000000"/>
          <w:sz w:val="24"/>
          <w:u w:val="single"/>
        </w:rPr>
        <w:t>郑大-竞磋-2023-0021-2</w:t>
      </w:r>
    </w:p>
    <w:p>
      <w:pPr>
        <w:jc w:val="center"/>
        <w:rPr>
          <w:rFonts w:eastAsia="隶书"/>
          <w:sz w:val="52"/>
        </w:rPr>
      </w:pPr>
    </w:p>
    <w:p>
      <w:pPr>
        <w:jc w:val="center"/>
        <w:rPr>
          <w:rFonts w:eastAsia="隶书"/>
          <w:sz w:val="52"/>
        </w:rPr>
      </w:pPr>
      <w:r>
        <w:rPr>
          <w:rFonts w:hint="eastAsia" w:eastAsia="隶书"/>
          <w:sz w:val="52"/>
        </w:rPr>
        <w:t>郑州大学</w:t>
      </w:r>
      <w:r>
        <w:rPr>
          <w:rFonts w:hint="eastAsia" w:eastAsia="隶书"/>
          <w:sz w:val="52"/>
          <w:u w:val="single"/>
        </w:rPr>
        <w:t>（</w:t>
      </w:r>
      <w:r>
        <w:rPr>
          <w:rFonts w:eastAsia="隶书"/>
          <w:sz w:val="52"/>
          <w:u w:val="single"/>
        </w:rPr>
        <w:t>服务）</w:t>
      </w:r>
      <w:r>
        <w:rPr>
          <w:rFonts w:hint="eastAsia" w:eastAsia="隶书"/>
          <w:sz w:val="52"/>
        </w:rPr>
        <w:t>采购合同</w:t>
      </w:r>
    </w:p>
    <w:p>
      <w:pPr>
        <w:spacing w:line="300" w:lineRule="auto"/>
        <w:rPr>
          <w:sz w:val="24"/>
        </w:rPr>
      </w:pPr>
      <w:r>
        <w:rPr>
          <w:rFonts w:hint="eastAsia"/>
          <w:b/>
          <w:sz w:val="24"/>
        </w:rPr>
        <w:t>甲方（全称）</w:t>
      </w:r>
      <w:r>
        <w:rPr>
          <w:rFonts w:hint="eastAsia"/>
          <w:sz w:val="24"/>
        </w:rPr>
        <w:t xml:space="preserve">：郑州大学       </w:t>
      </w:r>
    </w:p>
    <w:p>
      <w:pPr>
        <w:spacing w:line="300" w:lineRule="auto"/>
        <w:rPr>
          <w:sz w:val="24"/>
        </w:rPr>
      </w:pPr>
      <w:r>
        <w:rPr>
          <w:rFonts w:hint="eastAsia"/>
          <w:b/>
          <w:sz w:val="24"/>
        </w:rPr>
        <w:t>乙方（全称）</w:t>
      </w:r>
      <w:r>
        <w:rPr>
          <w:rFonts w:hint="eastAsia"/>
          <w:sz w:val="24"/>
        </w:rPr>
        <w:t>：郑州日成图书有限公司</w:t>
      </w:r>
    </w:p>
    <w:p>
      <w:pPr>
        <w:spacing w:line="400" w:lineRule="exact"/>
        <w:ind w:firstLine="420"/>
        <w:rPr>
          <w:rFonts w:ascii="宋体" w:hAnsi="宋体"/>
          <w:sz w:val="24"/>
        </w:rPr>
      </w:pPr>
      <w:r>
        <w:rPr>
          <w:rFonts w:ascii="宋体" w:hAnsi="宋体"/>
          <w:sz w:val="24"/>
        </w:rPr>
        <w:t>依照《中华人民共和国</w:t>
      </w:r>
      <w:r>
        <w:rPr>
          <w:rFonts w:hint="eastAsia" w:ascii="宋体" w:hAnsi="宋体"/>
          <w:sz w:val="24"/>
        </w:rPr>
        <w:t>民法典</w:t>
      </w:r>
      <w:r>
        <w:rPr>
          <w:rFonts w:ascii="宋体" w:hAnsi="宋体"/>
          <w:sz w:val="24"/>
        </w:rPr>
        <w:t>》及</w:t>
      </w:r>
      <w:r>
        <w:rPr>
          <w:rFonts w:hint="eastAsia" w:ascii="宋体" w:hAnsi="宋体"/>
          <w:sz w:val="24"/>
        </w:rPr>
        <w:t>有关法律规定</w:t>
      </w:r>
      <w:r>
        <w:rPr>
          <w:rFonts w:ascii="宋体" w:hAnsi="宋体"/>
          <w:sz w:val="24"/>
        </w:rPr>
        <w:t>，遵循平等、自愿、公平和诚实信用的原则，</w:t>
      </w:r>
      <w:r>
        <w:rPr>
          <w:rFonts w:hint="eastAsia" w:ascii="宋体" w:hAnsi="宋体"/>
          <w:sz w:val="24"/>
        </w:rPr>
        <w:t>甲乙</w:t>
      </w:r>
      <w:r>
        <w:rPr>
          <w:rFonts w:ascii="宋体" w:hAnsi="宋体"/>
          <w:sz w:val="24"/>
        </w:rPr>
        <w:t>双方就本</w:t>
      </w:r>
      <w:r>
        <w:rPr>
          <w:rFonts w:hint="eastAsia" w:ascii="宋体" w:hAnsi="宋体"/>
          <w:sz w:val="24"/>
        </w:rPr>
        <w:t>服务采购相关</w:t>
      </w:r>
      <w:r>
        <w:rPr>
          <w:rFonts w:ascii="宋体" w:hAnsi="宋体"/>
          <w:sz w:val="24"/>
        </w:rPr>
        <w:t>事项协商一致</w:t>
      </w:r>
      <w:r>
        <w:rPr>
          <w:rFonts w:hint="eastAsia" w:ascii="宋体" w:hAnsi="宋体"/>
          <w:sz w:val="24"/>
        </w:rPr>
        <w:t>，共同达成如下协议：</w:t>
      </w:r>
    </w:p>
    <w:p>
      <w:pPr>
        <w:numPr>
          <w:ilvl w:val="0"/>
          <w:numId w:val="1"/>
        </w:numPr>
        <w:spacing w:line="300" w:lineRule="auto"/>
        <w:rPr>
          <w:b/>
          <w:sz w:val="24"/>
        </w:rPr>
      </w:pPr>
      <w:r>
        <w:rPr>
          <w:rFonts w:hint="eastAsia"/>
          <w:b/>
          <w:sz w:val="24"/>
        </w:rPr>
        <w:t>合同内容及</w:t>
      </w:r>
      <w:r>
        <w:rPr>
          <w:b/>
          <w:sz w:val="24"/>
        </w:rPr>
        <w:t>要求</w:t>
      </w:r>
      <w:r>
        <w:rPr>
          <w:rFonts w:hint="eastAsia"/>
          <w:b/>
          <w:sz w:val="24"/>
        </w:rPr>
        <w:t>：</w:t>
      </w:r>
    </w:p>
    <w:p>
      <w:pPr>
        <w:spacing w:line="360" w:lineRule="auto"/>
        <w:ind w:firstLine="413" w:firstLineChars="196"/>
        <w:rPr>
          <w:rFonts w:ascii="宋体" w:hAnsi="宋体" w:cs="宋体"/>
          <w:color w:val="000000"/>
          <w:szCs w:val="21"/>
        </w:rPr>
      </w:pPr>
      <w:r>
        <w:rPr>
          <w:rFonts w:hint="eastAsia" w:ascii="宋体" w:hAnsi="宋体" w:cs="宋体"/>
          <w:b/>
          <w:bCs/>
          <w:color w:val="000000"/>
          <w:szCs w:val="21"/>
        </w:rPr>
        <w:t>(一)、郑州大学南校区二楼文史书库指定区域倒架、定位。</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指定位置图书倒架15000余册（有RFID图书标签、有条码、色标不动），倒架后重新细排架、定位。少量损坏或缺失的RFID图书标签、书标、条码要补全、覆膜。</w:t>
      </w:r>
    </w:p>
    <w:p>
      <w:pPr>
        <w:spacing w:line="360" w:lineRule="auto"/>
        <w:ind w:firstLine="413" w:firstLineChars="196"/>
        <w:rPr>
          <w:rFonts w:ascii="宋体" w:hAnsi="宋体" w:cs="宋体"/>
          <w:b/>
          <w:bCs/>
          <w:color w:val="000000"/>
          <w:szCs w:val="21"/>
        </w:rPr>
      </w:pPr>
      <w:r>
        <w:rPr>
          <w:rFonts w:hint="eastAsia" w:ascii="宋体" w:hAnsi="宋体" w:cs="宋体"/>
          <w:b/>
          <w:bCs/>
          <w:color w:val="000000"/>
          <w:szCs w:val="21"/>
        </w:rPr>
        <w:t>(二)、郑州大学南校区二楼文史书库指定区域图书下架。</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约4000册。需要下架图书、贴色标（在原色标上贴，覆膜）、上郑州大学南校区密集架（自动架）随机定位。少量损坏或缺失的RFID图书标签、书标、条码要补全、覆膜。</w:t>
      </w:r>
    </w:p>
    <w:p>
      <w:pPr>
        <w:spacing w:line="360" w:lineRule="auto"/>
        <w:ind w:firstLine="413" w:firstLineChars="196"/>
        <w:rPr>
          <w:rFonts w:ascii="宋体" w:hAnsi="宋体" w:cs="宋体"/>
          <w:color w:val="000000"/>
          <w:szCs w:val="21"/>
        </w:rPr>
      </w:pPr>
      <w:r>
        <w:rPr>
          <w:rFonts w:hint="eastAsia" w:ascii="宋体" w:hAnsi="宋体" w:cs="宋体"/>
          <w:b/>
          <w:bCs/>
          <w:color w:val="000000"/>
          <w:szCs w:val="21"/>
        </w:rPr>
        <w:t>(三)、郑州大学南校区一二楼已加工科图法图书整理。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图书约12万册（以实际数量为准）。目前存放在郑州大学南校区一楼两边及二楼文史书库外面，有芯片有条码有色标。需要改贴色标（在原色标上贴，覆膜）并搬至郑州大学南校区密集书库，随机上架定位于郑州大学南校区密集书库手动架区域。少量损坏或缺失的RFID图书标签、书标、条码要补全、覆膜。</w:t>
      </w:r>
    </w:p>
    <w:p>
      <w:pPr>
        <w:spacing w:line="360" w:lineRule="auto"/>
        <w:ind w:firstLine="413" w:firstLineChars="196"/>
        <w:rPr>
          <w:rFonts w:ascii="宋体" w:hAnsi="宋体" w:cs="宋体"/>
          <w:color w:val="000000"/>
          <w:szCs w:val="21"/>
        </w:rPr>
      </w:pPr>
      <w:r>
        <w:rPr>
          <w:rFonts w:hint="eastAsia" w:ascii="宋体" w:hAnsi="宋体" w:cs="宋体"/>
          <w:b/>
          <w:bCs/>
          <w:color w:val="000000"/>
          <w:szCs w:val="21"/>
        </w:rPr>
        <w:t>(四)、郑州大学南校区指定区域科图法图书整理。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约7万余册（以实际数量为准）。该批次图书有条码无RFID图书标签无色标，现打包堆放于三楼中间或其它地方，需要搬运、拆包，放至三楼社科书库书架，不加工不细排架不定位。书架上的书要摆放整齐，地上的书要放托盘上。该批次图书需做清单（至少包含条码号、书名、册数、定价等项）。</w:t>
      </w:r>
    </w:p>
    <w:p>
      <w:pPr>
        <w:spacing w:line="360" w:lineRule="auto"/>
        <w:ind w:firstLine="413" w:firstLineChars="196"/>
        <w:rPr>
          <w:rFonts w:ascii="宋体" w:hAnsi="宋体" w:cs="宋体"/>
          <w:color w:val="000000"/>
          <w:szCs w:val="21"/>
        </w:rPr>
      </w:pPr>
      <w:r>
        <w:rPr>
          <w:rFonts w:hint="eastAsia" w:ascii="宋体" w:hAnsi="宋体" w:cs="宋体"/>
          <w:b/>
          <w:bCs/>
          <w:color w:val="000000"/>
          <w:szCs w:val="21"/>
        </w:rPr>
        <w:t>(五)、郑州大学南校区三楼社科书库整理。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1、书库内图书约11万册（以实际数量为准）（科图法、有条形码、无RFID图书标签）。其中挑选7万册加工，剔旧图书4万册（以实际数量为准）。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7万册图书进行埋RFID图书标签、贴色标、覆膜，随机上架、定位于郑州大学南校区密集书库手动架区域。芯片型号及功能须与郑州大学图书馆现有RFID图书标签型号、功能一致。少量损坏或缺失的书标、条码要补全、覆膜。</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剔旧图书4万册（以实际数量为准）不再加工，留在原书库随机上架。依据图书的新旧程度及复本量（复本不超过3册）或按采购人要求进行剔旧。该批次图书需做清单（至少包含条码号、书名、册数、定价等项）。若图书无法识别条码号、书名等情况时，则直接打包存放，包上注明册数（不做清单）。若图书破散严重，则装袋存放（不做清单、不注明册数）。</w:t>
      </w:r>
    </w:p>
    <w:p>
      <w:pPr>
        <w:spacing w:line="360" w:lineRule="auto"/>
        <w:ind w:firstLine="413" w:firstLineChars="196"/>
        <w:rPr>
          <w:rFonts w:ascii="宋体" w:hAnsi="宋体" w:cs="宋体"/>
          <w:color w:val="000000"/>
          <w:szCs w:val="21"/>
        </w:rPr>
      </w:pPr>
      <w:r>
        <w:rPr>
          <w:rFonts w:hint="eastAsia" w:ascii="宋体" w:hAnsi="宋体" w:cs="宋体"/>
          <w:b/>
          <w:bCs/>
          <w:color w:val="000000"/>
          <w:szCs w:val="21"/>
        </w:rPr>
        <w:t>(六)、郑州大学南校区四楼综合书库整理。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1、书库内图书约16万册（以实际数量为准），科图法、有条形码、无RFID图书标签，其中挑选12万册加工，剔旧图书4万册（以实际数量为准）。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12万册图书进行埋RFID图书标签、贴色标、覆膜，随机上架、定位于郑州大学南校区密集书库手动架区域。芯片型号及功能须与郑州大学图书馆现有RFID图书标签型号、功能一致。少量损坏或缺失的书标、条码要补全、覆膜。</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剔旧图书4万册（以实际数量为准）。依据图书的新旧程度及复本量大的图书（复本不超过2册）进行剔旧。剔旧图书不做加工，搬运至郑州大学南校区三楼社科书库随机上架。若少量剔旧图书因破旧无法上架的，则打包存放。该批次图书需做清单（至少包含条码号、书名、册数、定价等项）。若图书无法识别条码号、书名等情况时，则直接打包存放，包上注明册数（不做清单）。若图书破散严重，则装袋存放（不做清单、不注明册数）。</w:t>
      </w:r>
    </w:p>
    <w:p>
      <w:pPr>
        <w:spacing w:line="360" w:lineRule="auto"/>
        <w:ind w:firstLine="413" w:firstLineChars="196"/>
        <w:rPr>
          <w:rFonts w:ascii="宋体" w:hAnsi="宋体" w:cs="宋体"/>
          <w:b/>
          <w:bCs/>
          <w:color w:val="000000"/>
          <w:szCs w:val="21"/>
        </w:rPr>
      </w:pPr>
      <w:r>
        <w:rPr>
          <w:rFonts w:hint="eastAsia" w:ascii="宋体" w:hAnsi="宋体" w:cs="宋体"/>
          <w:b/>
          <w:bCs/>
          <w:color w:val="000000"/>
          <w:szCs w:val="21"/>
        </w:rPr>
        <w:t>(七)、郑州大学北校区五楼木书架更换为铁书架，郑州大学北校区五楼现有图书上架、定位、细排架。</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从郑州大学南校区图书馆拆卸260个双面书架，搬迁至郑州大学北校区五楼书库，并组装到位。将郑州大学北校区五楼现有255个木质双面架移到该书库南北两端或指定位置整齐堆放。新购3120个层签（层签与现有的相同</w:t>
      </w:r>
      <w:r>
        <w:rPr>
          <w:rFonts w:hint="eastAsia" w:ascii="宋体" w:hAnsi="宋体" w:cs="宋体"/>
          <w:color w:val="000000"/>
          <w:kern w:val="0"/>
          <w:szCs w:val="21"/>
        </w:rPr>
        <w:t>或兼容</w:t>
      </w:r>
      <w:r>
        <w:rPr>
          <w:rFonts w:hint="eastAsia" w:ascii="宋体" w:hAnsi="宋体" w:cs="宋体"/>
          <w:color w:val="000000"/>
          <w:szCs w:val="21"/>
        </w:rPr>
        <w:t>）和相应的架标、加工粘贴。郑州大学北校区五楼现有8万余册（以实际数量为准）图书进行上架定位、细排架。少量损坏或缺失的RFID图书标签、书标、条码要补全、覆膜。</w:t>
      </w:r>
    </w:p>
    <w:p>
      <w:pPr>
        <w:spacing w:line="360" w:lineRule="auto"/>
        <w:ind w:firstLine="413" w:firstLineChars="196"/>
        <w:rPr>
          <w:rFonts w:ascii="宋体" w:hAnsi="宋体" w:cs="宋体"/>
          <w:color w:val="000000"/>
          <w:szCs w:val="21"/>
        </w:rPr>
      </w:pPr>
      <w:r>
        <w:rPr>
          <w:rFonts w:hint="eastAsia" w:ascii="宋体" w:hAnsi="宋体" w:cs="宋体"/>
          <w:b/>
          <w:bCs/>
          <w:color w:val="000000"/>
          <w:szCs w:val="21"/>
        </w:rPr>
        <w:t>(八)、房间整理及家具设备搬迁。</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1、郑州大学南校区三楼东南房间：清空整个房间并卫生打扫，房间内有物品约4万册图书，约2万册过刊或报纸，105个书架（双面），阅览桌30个，单桌子16个，铁皮柜5个，椅子200个左右， </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对约4万册图书进行打包搬运（每包上注明册数），放置同层指定书库书架上。放置前先对指定书库进行卫生打扫，书库内原有地上的图书也要放置在书架上（书架放不下的情况下，将图书下放托盘进行摆放）；将两万册过刊或报纸放置同层另外指定房间；将105个书架（双面）拆卸归整搬运放置指定位置；阅览桌30个，单桌子16个，铁皮柜5个，椅子200个左右等其余物品搬运放置指定位置。</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3、郑州大学南校区5层、6层西边：已拆散的铁书架搬迁至4层综合书库（或指定位置）。</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4、郑州大学南校区7层：黄木玻璃柜6个、木期刊架3个、阅览桌25个、办公桌2个申请报废，搬迁至1层东围挡处。铁皮柜19个搬迁至4层综合书库（或指定位置）。郑州大学南校区4层西：黄木柜4个搬迁至1层东围挡处或指定位置。</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5、311房间：4个书柜（铁质三层矮柜）、2个绿色铁质书架（五层）、4个板式VCD机柜（后有孔）、1个录像带柜（六层）、3个展柜（上层玻璃倾斜）、1个CD柜（玻璃门八层）、16个铁腿木座黑椅子、3个高靠背软面黑色椅子、4个学习桌、32个视听室白色板桌、4个书库多层服务台（小）搬迁至1层东围挡处或指定位置。</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6、所有物品均以实际数量为准。本项中所有清运物品（指家具设备。图书报刊除外）均需做物品清单（至少包含物品名称、型号、数量、实物图片等项）。</w:t>
      </w:r>
    </w:p>
    <w:p>
      <w:pPr>
        <w:rPr>
          <w:b/>
          <w:bCs/>
          <w:sz w:val="24"/>
        </w:rPr>
      </w:pPr>
      <w:r>
        <w:rPr>
          <w:rFonts w:hint="eastAsia"/>
          <w:b/>
          <w:bCs/>
          <w:sz w:val="24"/>
        </w:rPr>
        <w:t xml:space="preserve">二、合同总价款： </w:t>
      </w:r>
    </w:p>
    <w:p>
      <w:pPr>
        <w:spacing w:line="360" w:lineRule="auto"/>
        <w:ind w:firstLine="422" w:firstLineChars="200"/>
        <w:rPr>
          <w:rFonts w:ascii="宋体" w:hAnsi="宋体" w:cs="宋体"/>
          <w:b/>
          <w:bCs/>
          <w:color w:val="000000"/>
          <w:szCs w:val="21"/>
        </w:rPr>
      </w:pPr>
      <w:r>
        <w:rPr>
          <w:rFonts w:hint="eastAsia" w:ascii="宋体" w:hAnsi="宋体" w:cs="宋体"/>
          <w:b/>
          <w:bCs/>
          <w:color w:val="000000"/>
          <w:szCs w:val="21"/>
        </w:rPr>
        <w:t>本合同金额为</w:t>
      </w:r>
      <w:r>
        <w:rPr>
          <w:rFonts w:hint="eastAsia" w:ascii="宋体" w:hAnsi="宋体" w:cs="宋体"/>
          <w:b/>
          <w:bCs/>
          <w:color w:val="000000"/>
          <w:szCs w:val="21"/>
          <w:u w:val="single"/>
        </w:rPr>
        <w:t>470000.00元，大写：肆拾柒万元整</w:t>
      </w:r>
      <w:r>
        <w:rPr>
          <w:rFonts w:hint="eastAsia" w:ascii="宋体" w:hAnsi="宋体" w:cs="宋体"/>
          <w:b/>
          <w:bCs/>
          <w:color w:val="000000"/>
          <w:szCs w:val="21"/>
        </w:rPr>
        <w:t>。</w:t>
      </w:r>
    </w:p>
    <w:p>
      <w:pPr>
        <w:spacing w:line="300" w:lineRule="auto"/>
        <w:rPr>
          <w:b/>
          <w:sz w:val="24"/>
        </w:rPr>
      </w:pPr>
      <w:r>
        <w:rPr>
          <w:rFonts w:hint="eastAsia"/>
          <w:b/>
          <w:sz w:val="24"/>
        </w:rPr>
        <w:t>三、质量要求或</w:t>
      </w:r>
      <w:r>
        <w:rPr>
          <w:b/>
          <w:sz w:val="24"/>
        </w:rPr>
        <w:t>服务</w:t>
      </w:r>
      <w:r>
        <w:rPr>
          <w:rFonts w:hint="eastAsia"/>
          <w:b/>
          <w:sz w:val="24"/>
        </w:rPr>
        <w:t>标准，乙方对质量负责的条件和期限：</w:t>
      </w:r>
    </w:p>
    <w:p>
      <w:pPr>
        <w:spacing w:line="360" w:lineRule="auto"/>
        <w:rPr>
          <w:rFonts w:ascii="宋体" w:hAnsi="宋体" w:cs="宋体"/>
          <w:b/>
          <w:bCs/>
          <w:color w:val="000000"/>
          <w:szCs w:val="21"/>
        </w:rPr>
      </w:pPr>
      <w:r>
        <w:rPr>
          <w:rFonts w:hint="eastAsia" w:ascii="宋体" w:hAnsi="宋体" w:cs="宋体"/>
          <w:b/>
          <w:bCs/>
          <w:color w:val="000000"/>
          <w:szCs w:val="21"/>
        </w:rPr>
        <w:t>（一）、RFID图书标签要求</w:t>
      </w:r>
    </w:p>
    <w:p>
      <w:pPr>
        <w:spacing w:line="360" w:lineRule="auto"/>
        <w:ind w:firstLine="422" w:firstLineChars="200"/>
        <w:rPr>
          <w:rFonts w:ascii="宋体" w:hAnsi="宋体" w:cs="宋体"/>
          <w:b/>
          <w:bCs/>
          <w:color w:val="000000"/>
          <w:szCs w:val="21"/>
        </w:rPr>
      </w:pPr>
      <w:r>
        <w:rPr>
          <w:rFonts w:hint="eastAsia" w:ascii="宋体" w:hAnsi="宋体" w:cs="宋体"/>
          <w:b/>
          <w:bCs/>
          <w:color w:val="000000"/>
          <w:szCs w:val="21"/>
        </w:rPr>
        <w:t>1、必须和郑州大学新校区一致或兼容，并能在郑州大学新校区借还设备和门禁及盘点机上正常使用。</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2、功能要求：</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2.1标签为无源标签，须符合国际标准ISO18000-6C 空中接口标准。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2.2图书标签必须安装于图书内页夹缝中，隐蔽性高，不易撕毁、脱落。</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2.3可重复擦写≥10万次。</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2.4标签采用AFI位或EAS作为防盗的安全标志方法，标志位可由用户自由修改。</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2.5标签应自带单面或双面粘性，所用胶水为中性环保胶水，不损伤图书纸张</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3、技术要求：</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3.1工作频率：860 ～ 960MHz</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3.1标签尺寸：≤ 124mm * 5mm (长*宽)</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3.3标签天线类型：铝质蚀刻天线，PET基底</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3.4基材：格拉辛底纸</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3.5芯片类型：Alien / Higgs3（C07）等同性能芯片</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3.6标签内存容量：≥ 96位EPC码，512位用户数据区</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3.7有效识读距离：应符合自助借还、书架、安全门等设备读取要求</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3.8防冲突性：允许工作区间内多个标签的可靠识读</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3.9有效使用寿命：≥ 10年（标签要求10年内包换）</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3.10有效使用次数：≥10万次</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3.11访问密码：≥ 32bits</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3.12拟投电子标签具有抗磁条干扰功能，在和书籍中原有金属磁条隔页粘贴时仍能保证良好读取效率。</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3.13拟投图书电子标签须通过老化测试，确保产品质量的可靠性。</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3.14为避免对人体辐射伤害，特别是对孕妇、心脏起搏器佩戴者以及身体条件缺陷的读者造成伤害。标签需通过国家GB9254-2008（无线电骚扰限值）相关标准试验检测。</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3.15产品电磁辐射需符合国家相关要求，8小时连续暴露辐射安全≤4u W/cm2，不会对其他设备的正常使用造成影响。</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3.16材料及工艺更有利于人体健康及环境保护，产品的有害物质含量符合GB/T 26572-2011标准，其中铅（Pb）、汞（Hg）、六价铬（Cr(VI）、多溴联苯（PBB）、多溴二苯醚（PBDE）含量低于0.1%（质量分数），镉（Cd）的含量低于0.01%（质量分数）。</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4、质保期壹年，质保期内对因质量问题不能正常使用的标签提供免费更换。提供最优化的数据结构存储方案和存取管理程序，优化读取速度，提高处理的效率。</w:t>
      </w:r>
    </w:p>
    <w:p>
      <w:pPr>
        <w:spacing w:line="360" w:lineRule="auto"/>
        <w:rPr>
          <w:rFonts w:ascii="宋体" w:hAnsi="宋体" w:cs="宋体"/>
          <w:color w:val="000000"/>
          <w:szCs w:val="21"/>
        </w:rPr>
      </w:pPr>
      <w:r>
        <w:rPr>
          <w:rFonts w:hint="eastAsia" w:ascii="宋体" w:hAnsi="宋体" w:cs="宋体"/>
          <w:b/>
          <w:bCs/>
          <w:color w:val="000000"/>
          <w:szCs w:val="21"/>
        </w:rPr>
        <w:t>（二）、层架标签要求</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1、层架标签必须和郑州大学新校区一致或兼容。质量可优于郑州大学新校区正在使用的层架标签，但须经甲方同意。</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2、功能要求：</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2.1标签为无源标签，无需电池设备。</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2.2标签中有存储器，存储在其中的资料可重复读、写。</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2.3标签存储器中的信息可以非接触式的读取和写入，加快资源流通的处理手续。</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2.4标签必须使用防冲突的运算法则，具有一定的抗冲突性，能保证多个标签同时可靠识别。</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2.5标签具有较高的安全性，可防止存储在其中的信息被随意改写。</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2.6须符合国际相关行业标准，如ISO18000-6C标准，具有良好的互换性与兼容性。</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2.7用户可自定义数据格式和内容，具有良好的数据扩展性。</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3、技术要求：</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3.1工作频率：860 ～ 960MHz</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3.2标签尺寸：≤ 93mm * 20mm * 5.4mm (长*宽*厚)</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3.3标签天线类型：铝质蚀刻天线，PET基底</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3.4芯片类型：Alien / Higgs3（C07）等同性能芯片</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3.5标签内存容量：≥ 96位EPC码，512位用户数据区</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3.6有效识读距离：应符合盘点车等设备读取要求</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3.7有效使用寿命：≥ 10年（标签要求10年内包换）</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3.8有效使用次数：≥10万次</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3.9访问密码：≥ 32bits</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3.10材料及工艺更有利于人体健康及环境保护，产品的有害物质含量符合GB/T 26572-2011标准，其中铅（Pb）、汞（Hg）、六价铬（Cr(VI）、多溴联苯（PBB）、多溴二苯醚（PBDE）含量低于0.1%（质量分数），镉（Cd）的含量低于0.01%（质量分数）。</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3.11标签具备抗金属能力，可用于金属制品上。</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4、质保期壹年，质保期内对因质量问题不能正常使用的标签提供免费更换。提供最优化的数据结构存储方案和存取管理程序，优化读取速度，提高处理的效率。</w:t>
      </w:r>
    </w:p>
    <w:p>
      <w:pPr>
        <w:spacing w:line="360" w:lineRule="auto"/>
        <w:rPr>
          <w:rFonts w:ascii="宋体" w:hAnsi="宋体" w:cs="宋体"/>
          <w:color w:val="000000"/>
          <w:szCs w:val="21"/>
        </w:rPr>
      </w:pPr>
      <w:r>
        <w:rPr>
          <w:rFonts w:hint="eastAsia" w:ascii="宋体" w:hAnsi="宋体" w:cs="宋体"/>
          <w:b/>
          <w:bCs/>
          <w:color w:val="000000"/>
          <w:szCs w:val="21"/>
        </w:rPr>
        <w:t>（三）、色标</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具体要求：质量高于郑州大学郑州大学新校区图书馆现正在使用的图书色标，或与目前新楼区图书馆正在使用的一致。具体规格和颜色由甲方确认。色标上粘贴保护膜（整覆膜体）。色正，且必须统一。</w:t>
      </w:r>
    </w:p>
    <w:p>
      <w:pPr>
        <w:spacing w:line="360" w:lineRule="auto"/>
        <w:rPr>
          <w:rFonts w:ascii="宋体" w:hAnsi="宋体" w:cs="宋体"/>
          <w:b/>
          <w:bCs/>
          <w:color w:val="000000"/>
          <w:szCs w:val="21"/>
        </w:rPr>
      </w:pPr>
      <w:r>
        <w:rPr>
          <w:rFonts w:hint="eastAsia" w:ascii="宋体" w:hAnsi="宋体" w:cs="宋体"/>
          <w:b/>
          <w:bCs/>
          <w:color w:val="000000"/>
          <w:szCs w:val="21"/>
        </w:rPr>
        <w:t>（四）、条形码</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1、要求：加贴保护膜（书内除外）；上下需与书上切口平行，不能歪斜。</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2、条码纸材质：一致，或优于郑州大学郑州大学新校区图书馆现在使用的且能正常使用且须经甲方同意。</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3、规格：空白条码纸尺寸：50mm*17mmm（长*高），条码长45mm*11mm（长*高）。</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4、码制：39码43校验。</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5、范围：需修补的图书，以扫描仪是否能读取为准。凡扫描仪不能读取的均需更换条形码。</w:t>
      </w:r>
    </w:p>
    <w:p>
      <w:pPr>
        <w:spacing w:line="360" w:lineRule="auto"/>
        <w:rPr>
          <w:rFonts w:ascii="宋体" w:hAnsi="宋体" w:cs="宋体"/>
          <w:b/>
          <w:bCs/>
          <w:color w:val="000000"/>
          <w:szCs w:val="21"/>
        </w:rPr>
      </w:pPr>
      <w:r>
        <w:rPr>
          <w:rFonts w:hint="eastAsia" w:ascii="宋体" w:hAnsi="宋体" w:cs="宋体"/>
          <w:b/>
          <w:bCs/>
          <w:color w:val="000000"/>
          <w:szCs w:val="21"/>
        </w:rPr>
        <w:t>（五）、保护膜</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美观，整洁，需与书上下切口平行，不能歪斜。切口整齐。书脊上将书标和色标整体覆盖一张膜。本次招标中，除赔新书及新书加工外，其它图书书内条码和书标不覆膜。</w:t>
      </w:r>
    </w:p>
    <w:p>
      <w:pPr>
        <w:spacing w:line="360" w:lineRule="auto"/>
        <w:rPr>
          <w:rFonts w:ascii="宋体" w:hAnsi="宋体" w:cs="宋体"/>
          <w:b/>
          <w:bCs/>
          <w:color w:val="000000"/>
          <w:szCs w:val="21"/>
        </w:rPr>
      </w:pPr>
      <w:r>
        <w:rPr>
          <w:rFonts w:hint="eastAsia" w:ascii="宋体" w:hAnsi="宋体" w:cs="宋体"/>
          <w:b/>
          <w:bCs/>
          <w:color w:val="000000"/>
          <w:szCs w:val="21"/>
        </w:rPr>
        <w:t>（六）、书标</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1、具体：索书号由分类号和著者号组成。字号字体必须统一且和现行一致。</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2、两枚：第一枚，</w:t>
      </w:r>
      <w:r>
        <w:rPr>
          <w:rFonts w:hint="eastAsia" w:ascii="宋体" w:hAnsi="宋体" w:cs="宋体"/>
          <w:szCs w:val="21"/>
        </w:rPr>
        <w:t>书名页左上角一枚，</w:t>
      </w:r>
      <w:r>
        <w:rPr>
          <w:rFonts w:hint="eastAsia" w:ascii="宋体" w:hAnsi="宋体" w:cs="宋体"/>
          <w:color w:val="000000"/>
          <w:szCs w:val="21"/>
        </w:rPr>
        <w:t>距顶端0.5cm处粘贴；第二枚距书脊下离底边2cm处，并均加贴保护膜。</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3、质量和规格和颜色：和现行一致。</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4、要求：清晰、整洁、完整，上下需与书上下切口平行，不能歪斜，不能印出里面的字迹。索书号字符大小相同、不能断尾，书标上不能有多余墨迹或其它不该有的字迹出现。</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5、范围：需修补的图书，以是否看得清为准。凡看不清的书标均需更换。</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6、书内书标不覆膜。</w:t>
      </w:r>
    </w:p>
    <w:p>
      <w:pPr>
        <w:spacing w:line="360" w:lineRule="auto"/>
        <w:rPr>
          <w:rFonts w:ascii="宋体" w:hAnsi="宋体" w:cs="宋体"/>
          <w:b/>
          <w:bCs/>
          <w:color w:val="000000"/>
          <w:szCs w:val="21"/>
        </w:rPr>
      </w:pPr>
      <w:r>
        <w:rPr>
          <w:rFonts w:hint="eastAsia" w:ascii="宋体" w:hAnsi="宋体" w:cs="宋体"/>
          <w:b/>
          <w:bCs/>
          <w:color w:val="000000"/>
          <w:szCs w:val="21"/>
        </w:rPr>
        <w:t>（七）、电子标签安装事项</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1、安装位置：图书标签安装在图书后 50 页范围内随机粘贴（不够50页的小册子放中间）。标签粘贴位置固定，不能随意乱贴。上下不得有外漏现象。</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2、标签下端与书页底部的距离为 20mm。</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3、标签的三角锯齿端平直朝向书脊根部粘贴。标签前端三角锯齿距书脊根部不能超过 2mm。</w:t>
      </w:r>
    </w:p>
    <w:p>
      <w:pPr>
        <w:spacing w:line="360" w:lineRule="auto"/>
        <w:rPr>
          <w:rFonts w:ascii="宋体" w:hAnsi="宋体" w:cs="宋体"/>
          <w:b/>
          <w:bCs/>
          <w:color w:val="000000"/>
          <w:szCs w:val="21"/>
        </w:rPr>
      </w:pPr>
      <w:r>
        <w:rPr>
          <w:rFonts w:hint="eastAsia" w:ascii="宋体" w:hAnsi="宋体" w:cs="宋体"/>
          <w:b/>
          <w:bCs/>
          <w:color w:val="000000"/>
          <w:szCs w:val="21"/>
        </w:rPr>
        <w:t>（八）、架标和层签安装要求</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1、架标和郑州大学新校区图书馆一致，排架号牌和架标为PVC硬板材质，起止分类号段卡片为200g铜版纸，具体颜色及样式由甲方确认。</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2、层签和郑州大学新校区图书馆一致或兼容。</w:t>
      </w:r>
    </w:p>
    <w:p>
      <w:pPr>
        <w:spacing w:line="360" w:lineRule="auto"/>
        <w:rPr>
          <w:rFonts w:ascii="宋体" w:hAnsi="宋体" w:cs="宋体"/>
          <w:color w:val="000000"/>
          <w:szCs w:val="21"/>
        </w:rPr>
      </w:pPr>
      <w:r>
        <w:rPr>
          <w:rFonts w:hint="eastAsia" w:ascii="宋体" w:hAnsi="宋体" w:cs="宋体"/>
          <w:b/>
          <w:bCs/>
          <w:color w:val="000000"/>
          <w:szCs w:val="21"/>
        </w:rPr>
        <w:t>（九）、细排架要求</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1、排架人员需熟知图书分类法（中图法和科图法）。</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熟知图书馆图书排架规则，图书排架需严格按照图书分类法（中图法或科图法）排列，乱架率不得超过5‰。中图法细排架需根据馆藏量及近年各类新书采购量精确计算，预留合理架位空间；科图法细排架要求每层排满架。</w:t>
      </w:r>
    </w:p>
    <w:p>
      <w:pPr>
        <w:spacing w:line="360" w:lineRule="auto"/>
        <w:ind w:firstLine="420" w:firstLineChars="200"/>
        <w:rPr>
          <w:rFonts w:ascii="宋体" w:hAnsi="宋体" w:cs="宋体"/>
          <w:b/>
          <w:color w:val="000000"/>
          <w:szCs w:val="21"/>
        </w:rPr>
      </w:pPr>
      <w:r>
        <w:rPr>
          <w:rFonts w:hint="eastAsia" w:ascii="宋体" w:hAnsi="宋体" w:cs="宋体"/>
          <w:bCs/>
          <w:color w:val="000000"/>
          <w:szCs w:val="21"/>
        </w:rPr>
        <w:t>3、细排到最后一位。</w:t>
      </w:r>
    </w:p>
    <w:p>
      <w:pPr>
        <w:spacing w:line="360" w:lineRule="auto"/>
        <w:rPr>
          <w:rFonts w:ascii="宋体" w:hAnsi="宋体" w:cs="宋体"/>
          <w:color w:val="000000"/>
          <w:szCs w:val="21"/>
        </w:rPr>
      </w:pPr>
      <w:r>
        <w:rPr>
          <w:rFonts w:hint="eastAsia" w:ascii="宋体" w:hAnsi="宋体" w:cs="宋体"/>
          <w:b/>
          <w:bCs/>
          <w:color w:val="000000"/>
          <w:szCs w:val="21"/>
        </w:rPr>
        <w:t>（十）、中图法排架要求</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1、分类号</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分类号的排列采用由左至右逐位对比的方法进行排列。先比较英文字母部分，按《中图法》的22个基本大类的拉丁字母顺序排，A、B、C、……Z。工业技术类用双字母，第一个字母相同，按第二个字母的顺序排，TB、TD、TE、……TV。字母相同，再比较数字部分。例：先后顺序B2、B220、B220.21、B220.3</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2、著者码</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著者码的排列采用先比较字母，后比较数字的顺序排列。</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例：B848.4/H019、B848.4/K364、B848.4/K3641、B848.4/K3642</w:t>
      </w:r>
    </w:p>
    <w:p>
      <w:pPr>
        <w:spacing w:line="360" w:lineRule="auto"/>
        <w:rPr>
          <w:rFonts w:ascii="宋体" w:hAnsi="宋体" w:cs="宋体"/>
          <w:b/>
          <w:bCs/>
          <w:color w:val="000000"/>
          <w:szCs w:val="21"/>
        </w:rPr>
      </w:pPr>
      <w:r>
        <w:rPr>
          <w:rFonts w:hint="eastAsia" w:ascii="宋体" w:hAnsi="宋体" w:cs="宋体"/>
          <w:b/>
          <w:bCs/>
          <w:color w:val="000000"/>
          <w:szCs w:val="21"/>
        </w:rPr>
        <w:t>（十一）、排架其他事项</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1、排列顺序按架次，由外到里，由左至右，由上至下，首尾相连“S”型进行排列。</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2、</w:t>
      </w:r>
      <w:r>
        <w:rPr>
          <w:rFonts w:hint="eastAsia" w:ascii="宋体" w:hAnsi="宋体" w:cs="宋体"/>
          <w:bCs/>
          <w:color w:val="000000"/>
          <w:szCs w:val="21"/>
        </w:rPr>
        <w:t>图书排完架后还需对图书进行检查整理，对上架位置不准确的图书重新排架，乱架率控制在千分之五以内。</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3、每排书都要有架标，标明该排书架上图书的起止类号。</w:t>
      </w:r>
    </w:p>
    <w:p>
      <w:pPr>
        <w:spacing w:line="360" w:lineRule="auto"/>
        <w:rPr>
          <w:rFonts w:ascii="宋体" w:hAnsi="宋体" w:cs="宋体"/>
          <w:color w:val="000000"/>
          <w:szCs w:val="21"/>
        </w:rPr>
      </w:pPr>
      <w:r>
        <w:rPr>
          <w:rFonts w:hint="eastAsia" w:ascii="宋体" w:hAnsi="宋体" w:cs="宋体"/>
          <w:b/>
          <w:bCs/>
          <w:color w:val="000000"/>
          <w:szCs w:val="21"/>
        </w:rPr>
        <w:t>（十二）、托盘</w:t>
      </w:r>
    </w:p>
    <w:p>
      <w:pPr>
        <w:spacing w:line="360" w:lineRule="auto"/>
        <w:ind w:firstLine="315" w:firstLineChars="150"/>
        <w:rPr>
          <w:rFonts w:ascii="宋体" w:hAnsi="宋体" w:cs="宋体"/>
          <w:color w:val="000000"/>
          <w:szCs w:val="21"/>
        </w:rPr>
      </w:pPr>
      <w:r>
        <w:rPr>
          <w:rFonts w:hint="eastAsia" w:ascii="宋体" w:hAnsi="宋体" w:cs="宋体"/>
          <w:color w:val="000000"/>
          <w:szCs w:val="21"/>
        </w:rPr>
        <w:t>不低于5厘米。托盘由乙方自行采购，所需费用由乙方支付。</w:t>
      </w:r>
    </w:p>
    <w:p>
      <w:pPr>
        <w:spacing w:line="360" w:lineRule="auto"/>
        <w:rPr>
          <w:rFonts w:ascii="宋体" w:hAnsi="宋体" w:cs="宋体"/>
          <w:b/>
          <w:bCs/>
          <w:color w:val="000000"/>
          <w:szCs w:val="21"/>
        </w:rPr>
      </w:pPr>
      <w:r>
        <w:rPr>
          <w:rFonts w:hint="eastAsia" w:ascii="宋体" w:hAnsi="宋体" w:cs="宋体"/>
          <w:b/>
          <w:bCs/>
          <w:color w:val="000000"/>
          <w:szCs w:val="21"/>
        </w:rPr>
        <w:t>（十三）、上架定位的设备及软件</w:t>
      </w:r>
    </w:p>
    <w:p>
      <w:pPr>
        <w:spacing w:line="360" w:lineRule="auto"/>
        <w:ind w:firstLine="315" w:firstLineChars="150"/>
        <w:rPr>
          <w:rFonts w:ascii="宋体" w:hAnsi="宋体" w:cs="宋体"/>
          <w:color w:val="000000"/>
          <w:szCs w:val="21"/>
        </w:rPr>
      </w:pPr>
      <w:r>
        <w:rPr>
          <w:rFonts w:hint="eastAsia" w:ascii="宋体" w:hAnsi="宋体" w:cs="宋体"/>
          <w:color w:val="000000"/>
          <w:szCs w:val="21"/>
        </w:rPr>
        <w:t>1、甲方提供一台盘点车，其余所需设备均由乙方自行解决。</w:t>
      </w:r>
    </w:p>
    <w:p>
      <w:pPr>
        <w:spacing w:line="360" w:lineRule="auto"/>
        <w:ind w:firstLine="315" w:firstLineChars="150"/>
        <w:rPr>
          <w:rFonts w:ascii="宋体" w:hAnsi="宋体" w:cs="宋体"/>
          <w:color w:val="000000"/>
          <w:szCs w:val="21"/>
        </w:rPr>
      </w:pPr>
      <w:r>
        <w:rPr>
          <w:rFonts w:hint="eastAsia" w:ascii="宋体" w:hAnsi="宋体" w:cs="宋体"/>
          <w:color w:val="000000"/>
          <w:szCs w:val="21"/>
        </w:rPr>
        <w:t>2、成交乙方须使用甲方指定的软件上架定位，该软件由甲方负责提供。</w:t>
      </w:r>
    </w:p>
    <w:p>
      <w:pPr>
        <w:spacing w:line="300" w:lineRule="auto"/>
        <w:rPr>
          <w:b/>
          <w:sz w:val="24"/>
        </w:rPr>
      </w:pPr>
      <w:r>
        <w:rPr>
          <w:rFonts w:hint="eastAsia"/>
          <w:b/>
          <w:sz w:val="24"/>
        </w:rPr>
        <w:t>四、服务约定：</w:t>
      </w:r>
    </w:p>
    <w:p>
      <w:pPr>
        <w:numPr>
          <w:ilvl w:val="0"/>
          <w:numId w:val="2"/>
        </w:numPr>
        <w:spacing w:line="300" w:lineRule="auto"/>
        <w:jc w:val="left"/>
        <w:rPr>
          <w:sz w:val="24"/>
        </w:rPr>
      </w:pPr>
      <w:r>
        <w:rPr>
          <w:rFonts w:hint="eastAsia"/>
          <w:sz w:val="24"/>
        </w:rPr>
        <w:t>服务完成时间：</w:t>
      </w:r>
      <w:r>
        <w:rPr>
          <w:rFonts w:hint="eastAsia"/>
          <w:sz w:val="24"/>
          <w:u w:val="single"/>
        </w:rPr>
        <w:t xml:space="preserve">合同签订后60日历天内完成 </w:t>
      </w:r>
      <w:r>
        <w:rPr>
          <w:rFonts w:hint="eastAsia"/>
          <w:sz w:val="24"/>
        </w:rPr>
        <w:t>。</w:t>
      </w:r>
    </w:p>
    <w:p>
      <w:pPr>
        <w:numPr>
          <w:ilvl w:val="0"/>
          <w:numId w:val="2"/>
        </w:numPr>
        <w:spacing w:line="300" w:lineRule="auto"/>
        <w:rPr>
          <w:sz w:val="24"/>
        </w:rPr>
      </w:pPr>
      <w:r>
        <w:rPr>
          <w:rFonts w:hint="eastAsia"/>
          <w:sz w:val="24"/>
        </w:rPr>
        <w:t>服务地点：</w:t>
      </w:r>
      <w:r>
        <w:rPr>
          <w:rFonts w:hint="eastAsia"/>
          <w:sz w:val="24"/>
          <w:u w:val="single"/>
        </w:rPr>
        <w:t>甲方指定地点</w:t>
      </w:r>
      <w:r>
        <w:rPr>
          <w:rFonts w:hint="eastAsia"/>
          <w:sz w:val="24"/>
        </w:rPr>
        <w:t>。</w:t>
      </w:r>
    </w:p>
    <w:p>
      <w:pPr>
        <w:spacing w:line="300" w:lineRule="auto"/>
        <w:rPr>
          <w:sz w:val="24"/>
        </w:rPr>
      </w:pPr>
      <w:r>
        <w:rPr>
          <w:rFonts w:hint="eastAsia"/>
          <w:sz w:val="24"/>
        </w:rPr>
        <w:tab/>
      </w:r>
      <w:r>
        <w:rPr>
          <w:rFonts w:hint="eastAsia"/>
          <w:sz w:val="24"/>
        </w:rPr>
        <w:t>3、服务方式：</w:t>
      </w:r>
      <w:r>
        <w:rPr>
          <w:rFonts w:hint="eastAsia"/>
          <w:sz w:val="24"/>
          <w:u w:val="single"/>
        </w:rPr>
        <w:t>按甲方要求</w:t>
      </w:r>
      <w:r>
        <w:rPr>
          <w:rFonts w:hint="eastAsia"/>
          <w:sz w:val="24"/>
        </w:rPr>
        <w:t>。</w:t>
      </w:r>
    </w:p>
    <w:p>
      <w:pPr>
        <w:spacing w:line="300" w:lineRule="auto"/>
        <w:rPr>
          <w:b/>
          <w:sz w:val="24"/>
        </w:rPr>
      </w:pPr>
      <w:r>
        <w:rPr>
          <w:rFonts w:hint="eastAsia"/>
          <w:b/>
          <w:sz w:val="24"/>
        </w:rPr>
        <w:t>五、验收标准、方法：（需提供</w:t>
      </w:r>
      <w:r>
        <w:rPr>
          <w:b/>
          <w:sz w:val="24"/>
        </w:rPr>
        <w:t>三份验收资料</w:t>
      </w:r>
      <w:r>
        <w:rPr>
          <w:rFonts w:hint="eastAsia"/>
          <w:b/>
          <w:sz w:val="24"/>
        </w:rPr>
        <w:t>）</w:t>
      </w:r>
    </w:p>
    <w:p>
      <w:pPr>
        <w:spacing w:line="360" w:lineRule="auto"/>
        <w:ind w:firstLine="480"/>
        <w:rPr>
          <w:rFonts w:ascii="宋体" w:hAnsi="宋体" w:cs="宋体"/>
          <w:bCs/>
          <w:sz w:val="24"/>
        </w:rPr>
      </w:pPr>
      <w:r>
        <w:rPr>
          <w:rFonts w:hint="eastAsia" w:ascii="宋体" w:hAnsi="宋体" w:cs="宋体"/>
          <w:bCs/>
          <w:sz w:val="24"/>
        </w:rPr>
        <w:t>1.验收标准：验收的依据是签订的采购合同、采购文件、报价文件等。</w:t>
      </w:r>
    </w:p>
    <w:p>
      <w:pPr>
        <w:spacing w:line="360" w:lineRule="auto"/>
        <w:ind w:firstLine="480"/>
        <w:rPr>
          <w:rFonts w:ascii="宋体" w:hAnsi="宋体" w:cs="宋体"/>
          <w:bCs/>
          <w:sz w:val="24"/>
        </w:rPr>
      </w:pPr>
      <w:r>
        <w:rPr>
          <w:rFonts w:hint="eastAsia" w:ascii="宋体" w:hAnsi="宋体" w:cs="宋体"/>
          <w:bCs/>
          <w:sz w:val="24"/>
        </w:rPr>
        <w:t>2.方法：</w:t>
      </w:r>
    </w:p>
    <w:p>
      <w:pPr>
        <w:spacing w:line="360" w:lineRule="auto"/>
        <w:ind w:firstLine="480"/>
        <w:rPr>
          <w:rFonts w:ascii="宋体" w:hAnsi="宋体" w:cs="宋体"/>
          <w:bCs/>
          <w:sz w:val="24"/>
        </w:rPr>
      </w:pPr>
      <w:r>
        <w:rPr>
          <w:rFonts w:hint="eastAsia" w:ascii="宋体" w:hAnsi="宋体" w:cs="宋体"/>
          <w:bCs/>
          <w:sz w:val="24"/>
        </w:rPr>
        <w:t>（1）过程验收：甲方对乙方整个项目实施过程进行全程监督，如有问题乙方必须立即整改。</w:t>
      </w:r>
    </w:p>
    <w:p>
      <w:pPr>
        <w:spacing w:line="360" w:lineRule="auto"/>
        <w:ind w:firstLine="480"/>
        <w:rPr>
          <w:rFonts w:ascii="宋体" w:hAnsi="宋体" w:cs="宋体"/>
          <w:bCs/>
          <w:sz w:val="24"/>
        </w:rPr>
      </w:pPr>
      <w:r>
        <w:rPr>
          <w:rFonts w:hint="eastAsia" w:ascii="宋体" w:hAnsi="宋体" w:cs="宋体"/>
          <w:bCs/>
          <w:sz w:val="24"/>
        </w:rPr>
        <w:t>（2）合同验收：服务结束后,依照合同对服务内容、服务标准、服务要求、效果和售后服务等逐条进行的检查验收，并做综合评价。</w:t>
      </w:r>
    </w:p>
    <w:p>
      <w:pPr>
        <w:spacing w:line="360" w:lineRule="auto"/>
        <w:ind w:firstLine="480"/>
        <w:rPr>
          <w:rFonts w:ascii="宋体" w:hAnsi="宋体" w:cs="宋体"/>
          <w:bCs/>
          <w:sz w:val="24"/>
        </w:rPr>
      </w:pPr>
      <w:r>
        <w:rPr>
          <w:rFonts w:hint="eastAsia" w:ascii="宋体" w:hAnsi="宋体" w:cs="宋体"/>
          <w:bCs/>
          <w:sz w:val="24"/>
        </w:rPr>
        <w:t>（3）乙方应根据报价文件所做相关承诺，配合甲方做好相关验收工作。</w:t>
      </w:r>
    </w:p>
    <w:p>
      <w:pPr>
        <w:spacing w:line="360" w:lineRule="auto"/>
        <w:ind w:firstLine="480"/>
        <w:rPr>
          <w:rFonts w:ascii="宋体" w:hAnsi="宋体" w:cs="宋体"/>
          <w:bCs/>
          <w:sz w:val="24"/>
        </w:rPr>
      </w:pPr>
      <w:r>
        <w:rPr>
          <w:rFonts w:hint="eastAsia" w:ascii="宋体" w:hAnsi="宋体" w:cs="宋体"/>
          <w:bCs/>
          <w:sz w:val="24"/>
        </w:rPr>
        <w:t xml:space="preserve"> 在验收中发现有下列不符合合同约定的情形的，应在验收报告中注明违约情形，经确认属质量等问题的，追究乙方违约责任；情节严重的，列入采购黑名单。a.乙方未按合同约定的时间、地点或方式履约，提供的服务不符合合同约定，（合同未约定的，按国家、行业有关标准或技术文件规定执行）；b.其他违反合同约定的情形。</w:t>
      </w:r>
    </w:p>
    <w:p>
      <w:pPr>
        <w:spacing w:line="360" w:lineRule="auto"/>
        <w:ind w:firstLine="480"/>
        <w:rPr>
          <w:rFonts w:ascii="宋体" w:hAnsi="宋体" w:cs="宋体"/>
          <w:bCs/>
          <w:sz w:val="24"/>
        </w:rPr>
      </w:pPr>
      <w:r>
        <w:rPr>
          <w:rFonts w:hint="eastAsia" w:ascii="宋体" w:hAnsi="宋体" w:cs="宋体"/>
          <w:bCs/>
          <w:sz w:val="24"/>
        </w:rPr>
        <w:t>（4）乙</w:t>
      </w:r>
      <w:r>
        <w:rPr>
          <w:rFonts w:ascii="宋体" w:hAnsi="宋体" w:cs="宋体"/>
          <w:bCs/>
          <w:sz w:val="24"/>
        </w:rPr>
        <w:t>方履约完毕及时向</w:t>
      </w:r>
      <w:r>
        <w:rPr>
          <w:rFonts w:hint="eastAsia" w:ascii="宋体" w:hAnsi="宋体" w:cs="宋体"/>
          <w:bCs/>
          <w:sz w:val="24"/>
        </w:rPr>
        <w:t>甲</w:t>
      </w:r>
      <w:r>
        <w:rPr>
          <w:rFonts w:ascii="宋体" w:hAnsi="宋体" w:cs="宋体"/>
          <w:bCs/>
          <w:sz w:val="24"/>
        </w:rPr>
        <w:t>方提出验收申请</w:t>
      </w:r>
      <w:r>
        <w:rPr>
          <w:rFonts w:hint="eastAsia"/>
          <w:bCs/>
          <w:sz w:val="24"/>
        </w:rPr>
        <w:t>并提供相关的</w:t>
      </w:r>
      <w:r>
        <w:rPr>
          <w:bCs/>
          <w:sz w:val="24"/>
        </w:rPr>
        <w:t>验收资料</w:t>
      </w:r>
      <w:r>
        <w:rPr>
          <w:rFonts w:hint="eastAsia"/>
          <w:bCs/>
          <w:sz w:val="24"/>
        </w:rPr>
        <w:t>（</w:t>
      </w:r>
      <w:r>
        <w:rPr>
          <w:bCs/>
          <w:sz w:val="24"/>
        </w:rPr>
        <w:t>三份</w:t>
      </w:r>
      <w:r>
        <w:rPr>
          <w:rFonts w:hint="eastAsia"/>
          <w:bCs/>
          <w:sz w:val="24"/>
        </w:rPr>
        <w:t>）</w:t>
      </w:r>
      <w:r>
        <w:rPr>
          <w:rFonts w:ascii="宋体" w:hAnsi="宋体" w:cs="宋体"/>
          <w:bCs/>
          <w:sz w:val="24"/>
        </w:rPr>
        <w:t>。方验收合格后出具验收报告。</w:t>
      </w:r>
    </w:p>
    <w:p>
      <w:pPr>
        <w:spacing w:line="300" w:lineRule="auto"/>
        <w:rPr>
          <w:b/>
          <w:sz w:val="24"/>
        </w:rPr>
      </w:pPr>
      <w:r>
        <w:rPr>
          <w:rFonts w:hint="eastAsia"/>
          <w:b/>
          <w:sz w:val="24"/>
        </w:rPr>
        <w:t>六、结算方式及期限：</w:t>
      </w:r>
    </w:p>
    <w:p>
      <w:pPr>
        <w:spacing w:line="300" w:lineRule="auto"/>
        <w:rPr>
          <w:b/>
          <w:sz w:val="24"/>
        </w:rPr>
      </w:pPr>
      <w:r>
        <w:rPr>
          <w:rFonts w:hint="eastAsia"/>
          <w:b/>
          <w:sz w:val="24"/>
        </w:rPr>
        <w:t xml:space="preserve">   验收合格并</w:t>
      </w:r>
      <w:r>
        <w:rPr>
          <w:b/>
          <w:sz w:val="24"/>
        </w:rPr>
        <w:t>经</w:t>
      </w:r>
      <w:r>
        <w:rPr>
          <w:rFonts w:hint="eastAsia"/>
          <w:b/>
          <w:sz w:val="24"/>
        </w:rPr>
        <w:t>审计后，付合同总金额的100%。</w:t>
      </w:r>
    </w:p>
    <w:p>
      <w:pPr>
        <w:spacing w:line="300" w:lineRule="auto"/>
        <w:rPr>
          <w:b/>
          <w:sz w:val="24"/>
        </w:rPr>
      </w:pPr>
      <w:r>
        <w:rPr>
          <w:rFonts w:hint="eastAsia"/>
          <w:b/>
          <w:sz w:val="24"/>
        </w:rPr>
        <w:t xml:space="preserve">七、免费质保约定： </w:t>
      </w:r>
    </w:p>
    <w:p>
      <w:pPr>
        <w:spacing w:line="360" w:lineRule="auto"/>
        <w:ind w:firstLine="480"/>
        <w:rPr>
          <w:b/>
          <w:sz w:val="24"/>
        </w:rPr>
      </w:pPr>
      <w:r>
        <w:rPr>
          <w:rFonts w:ascii="宋体" w:hAnsi="宋体" w:cs="宋体"/>
          <w:b/>
          <w:sz w:val="24"/>
        </w:rPr>
        <w:t>验收合格后</w:t>
      </w:r>
      <w:r>
        <w:rPr>
          <w:rFonts w:hint="eastAsia" w:ascii="宋体" w:hAnsi="宋体" w:cs="宋体"/>
          <w:b/>
          <w:sz w:val="24"/>
        </w:rPr>
        <w:t>壹</w:t>
      </w:r>
      <w:r>
        <w:rPr>
          <w:rFonts w:ascii="宋体" w:hAnsi="宋体" w:cs="宋体"/>
          <w:b/>
          <w:sz w:val="24"/>
        </w:rPr>
        <w:t>年</w:t>
      </w:r>
      <w:r>
        <w:rPr>
          <w:rFonts w:hint="eastAsia" w:ascii="宋体" w:hAnsi="宋体" w:cs="宋体"/>
          <w:b/>
          <w:sz w:val="24"/>
        </w:rPr>
        <w:t>。</w:t>
      </w:r>
    </w:p>
    <w:p>
      <w:pPr>
        <w:numPr>
          <w:ilvl w:val="0"/>
          <w:numId w:val="3"/>
        </w:numPr>
        <w:spacing w:line="300" w:lineRule="auto"/>
        <w:rPr>
          <w:szCs w:val="21"/>
        </w:rPr>
      </w:pPr>
      <w:r>
        <w:rPr>
          <w:rFonts w:hint="eastAsia"/>
          <w:b/>
          <w:sz w:val="24"/>
        </w:rPr>
        <w:t>售后服务承诺</w:t>
      </w:r>
      <w:r>
        <w:rPr>
          <w:rFonts w:hint="eastAsia"/>
          <w:szCs w:val="21"/>
        </w:rPr>
        <w:t>（包括服务的内容、方式、响应的时间、电话、质保期满结束后的维保等相关内容）</w:t>
      </w:r>
    </w:p>
    <w:p>
      <w:pPr>
        <w:numPr>
          <w:ilvl w:val="0"/>
          <w:numId w:val="4"/>
        </w:numPr>
        <w:spacing w:line="360" w:lineRule="auto"/>
        <w:ind w:firstLine="480"/>
        <w:rPr>
          <w:rFonts w:ascii="宋体" w:hAnsi="宋体" w:cs="宋体"/>
          <w:bCs/>
          <w:sz w:val="24"/>
        </w:rPr>
      </w:pPr>
      <w:r>
        <w:rPr>
          <w:rFonts w:ascii="宋体" w:hAnsi="宋体" w:cs="宋体"/>
          <w:bCs/>
          <w:sz w:val="24"/>
        </w:rPr>
        <w:t>我公司具有完善的售后服务体系，公司坚持“一切为了用户”的服务原则，专门建立了一支专业售后服务队伍，售后人员分配方案详细全面、切实可行。在今后的服务过程中，售后服务中心担负技术支持和对客户的服务工作，公司将安排技术人员定期回访、随时解决用户的问题。</w:t>
      </w:r>
    </w:p>
    <w:p>
      <w:pPr>
        <w:numPr>
          <w:ilvl w:val="0"/>
          <w:numId w:val="4"/>
        </w:numPr>
        <w:spacing w:line="360" w:lineRule="auto"/>
        <w:ind w:firstLine="480"/>
        <w:rPr>
          <w:rFonts w:ascii="宋体" w:hAnsi="宋体" w:cs="宋体"/>
          <w:bCs/>
          <w:sz w:val="24"/>
        </w:rPr>
      </w:pPr>
      <w:r>
        <w:rPr>
          <w:rFonts w:ascii="宋体" w:hAnsi="宋体" w:cs="宋体"/>
          <w:bCs/>
          <w:sz w:val="24"/>
        </w:rPr>
        <w:t>我公司承诺为采购方提供壹年免费质量保证期，并委派专人负责采购方的所有工作，为采购方提供最全面周到的服务，7×24小时随时响应服务，可完全满足采购方的各种服务要求和伴随服务。</w:t>
      </w:r>
    </w:p>
    <w:p>
      <w:pPr>
        <w:spacing w:line="360" w:lineRule="auto"/>
        <w:ind w:firstLine="480" w:firstLineChars="200"/>
        <w:rPr>
          <w:rFonts w:ascii="宋体" w:hAnsi="宋体" w:cs="宋体"/>
          <w:bCs/>
          <w:sz w:val="24"/>
        </w:rPr>
      </w:pPr>
      <w:r>
        <w:rPr>
          <w:rFonts w:ascii="宋体" w:hAnsi="宋体" w:cs="宋体"/>
          <w:bCs/>
          <w:sz w:val="24"/>
        </w:rPr>
        <w:t>售后服务机构名称：郑州日成图书有限公司</w:t>
      </w:r>
    </w:p>
    <w:p>
      <w:pPr>
        <w:spacing w:line="360" w:lineRule="auto"/>
        <w:ind w:firstLine="480" w:firstLineChars="200"/>
        <w:rPr>
          <w:rFonts w:ascii="宋体" w:hAnsi="宋体" w:cs="宋体"/>
          <w:bCs/>
          <w:sz w:val="24"/>
        </w:rPr>
      </w:pPr>
      <w:r>
        <w:rPr>
          <w:rFonts w:ascii="宋体" w:hAnsi="宋体" w:cs="宋体"/>
          <w:bCs/>
          <w:sz w:val="24"/>
        </w:rPr>
        <w:t xml:space="preserve">办公地点：郑州市中原区嵩山南路150号 </w:t>
      </w:r>
    </w:p>
    <w:p>
      <w:pPr>
        <w:spacing w:line="360" w:lineRule="auto"/>
        <w:ind w:firstLine="480" w:firstLineChars="200"/>
        <w:rPr>
          <w:rFonts w:ascii="宋体" w:hAnsi="宋体" w:cs="宋体"/>
          <w:bCs/>
          <w:sz w:val="24"/>
        </w:rPr>
      </w:pPr>
      <w:r>
        <w:rPr>
          <w:rFonts w:ascii="宋体" w:hAnsi="宋体" w:cs="宋体"/>
          <w:bCs/>
          <w:sz w:val="24"/>
        </w:rPr>
        <w:t>联系方式：薛良伟 18703625886（服务热线7×24小时电话支持服务）</w:t>
      </w:r>
    </w:p>
    <w:p>
      <w:pPr>
        <w:spacing w:line="360" w:lineRule="auto"/>
        <w:ind w:firstLine="480" w:firstLineChars="200"/>
        <w:rPr>
          <w:rFonts w:ascii="宋体" w:hAnsi="宋体" w:cs="宋体"/>
          <w:bCs/>
          <w:sz w:val="24"/>
        </w:rPr>
      </w:pPr>
      <w:r>
        <w:rPr>
          <w:rFonts w:ascii="宋体" w:hAnsi="宋体" w:cs="宋体"/>
          <w:bCs/>
          <w:sz w:val="24"/>
        </w:rPr>
        <w:t>响应时间：即时响应，服务人员2小时到达采购方，并在1日内解决问题，提供7×24小时服务。</w:t>
      </w:r>
    </w:p>
    <w:p>
      <w:pPr>
        <w:spacing w:line="300" w:lineRule="auto"/>
        <w:rPr>
          <w:sz w:val="24"/>
        </w:rPr>
      </w:pPr>
      <w:r>
        <w:rPr>
          <w:rFonts w:hint="eastAsia"/>
          <w:b/>
          <w:sz w:val="24"/>
        </w:rPr>
        <w:t>九</w:t>
      </w:r>
      <w:r>
        <w:rPr>
          <w:b/>
          <w:sz w:val="24"/>
        </w:rPr>
        <w:t>、</w:t>
      </w:r>
      <w:r>
        <w:rPr>
          <w:sz w:val="24"/>
        </w:rPr>
        <w:t>履约担保</w:t>
      </w:r>
    </w:p>
    <w:p>
      <w:pPr>
        <w:spacing w:line="300" w:lineRule="auto"/>
        <w:ind w:left="479" w:leftChars="228"/>
        <w:rPr>
          <w:rFonts w:asciiTheme="minorEastAsia" w:hAnsiTheme="minorEastAsia" w:eastAsiaTheme="minorEastAsia"/>
          <w:sz w:val="24"/>
        </w:rPr>
      </w:pPr>
      <w:r>
        <w:rPr>
          <w:rFonts w:hint="eastAsia" w:asciiTheme="minorEastAsia" w:hAnsiTheme="minorEastAsia" w:eastAsiaTheme="minorEastAsia"/>
          <w:sz w:val="24"/>
        </w:rPr>
        <w:t>履约担保金额:合同总额的5%；</w:t>
      </w:r>
    </w:p>
    <w:p>
      <w:pPr>
        <w:spacing w:line="300" w:lineRule="auto"/>
        <w:ind w:firstLine="477" w:firstLineChars="199"/>
        <w:rPr>
          <w:rFonts w:asciiTheme="minorEastAsia" w:hAnsiTheme="minorEastAsia" w:eastAsiaTheme="minorEastAsia"/>
          <w:sz w:val="24"/>
        </w:rPr>
      </w:pPr>
      <w:r>
        <w:rPr>
          <w:rFonts w:hint="eastAsia" w:asciiTheme="minorEastAsia" w:hAnsiTheme="minorEastAsia" w:eastAsiaTheme="minorEastAsia"/>
          <w:sz w:val="24"/>
        </w:rPr>
        <w:t>履约担保方式:乙方以银行保函方式在合同签订前向甲方提供履约担保，验收合格，正式交付使用后退还。</w:t>
      </w:r>
    </w:p>
    <w:p>
      <w:pPr>
        <w:spacing w:line="300" w:lineRule="auto"/>
        <w:rPr>
          <w:b/>
          <w:sz w:val="24"/>
        </w:rPr>
      </w:pPr>
      <w:r>
        <w:rPr>
          <w:rFonts w:hint="eastAsia"/>
          <w:b/>
          <w:sz w:val="24"/>
        </w:rPr>
        <w:t>十、违约责任：</w:t>
      </w:r>
    </w:p>
    <w:p>
      <w:pPr>
        <w:spacing w:line="300" w:lineRule="auto"/>
        <w:ind w:firstLine="420"/>
        <w:rPr>
          <w:rFonts w:ascii="宋体" w:hAnsi="宋体" w:cs="宋体"/>
          <w:sz w:val="24"/>
          <w:highlight w:val="yellow"/>
        </w:rPr>
      </w:pPr>
      <w:r>
        <w:rPr>
          <w:rFonts w:hint="eastAsia"/>
          <w:sz w:val="24"/>
        </w:rPr>
        <w:t>1、乙方违约：乙方提供的服务内容不符合约定的质量要求或服务标准，甲方有权解除或终止合同，并要求乙方按合同总价款的5</w:t>
      </w:r>
      <w:r>
        <w:rPr>
          <w:sz w:val="24"/>
        </w:rPr>
        <w:t>%</w:t>
      </w:r>
      <w:r>
        <w:rPr>
          <w:rFonts w:hint="eastAsia"/>
          <w:sz w:val="24"/>
        </w:rPr>
        <w:t>支付违约金，给甲方造成经济损失的，乙方还应按给甲方造成的经济损失赔偿；乙方未按约定期限交付</w:t>
      </w:r>
    </w:p>
    <w:p>
      <w:bookmarkStart w:id="0" w:name="_GoBack"/>
      <w:r>
        <w:drawing>
          <wp:anchor distT="0" distB="0" distL="114300" distR="114300" simplePos="0" relativeHeight="251659264" behindDoc="0" locked="0" layoutInCell="1" allowOverlap="1">
            <wp:simplePos x="0" y="0"/>
            <wp:positionH relativeFrom="column">
              <wp:posOffset>-1143000</wp:posOffset>
            </wp:positionH>
            <wp:positionV relativeFrom="paragraph">
              <wp:posOffset>-891540</wp:posOffset>
            </wp:positionV>
            <wp:extent cx="7573645" cy="10800080"/>
            <wp:effectExtent l="0" t="0" r="8255" b="1270"/>
            <wp:wrapNone/>
            <wp:docPr id="2" name="图片 2" descr="CCF_000120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CF_000120_00"/>
                    <pic:cNvPicPr>
                      <a:picLocks noChangeAspect="1"/>
                    </pic:cNvPicPr>
                  </pic:nvPicPr>
                  <pic:blipFill>
                    <a:blip r:embed="rId4"/>
                    <a:stretch>
                      <a:fillRect/>
                    </a:stretch>
                  </pic:blipFill>
                  <pic:spPr>
                    <a:xfrm>
                      <a:off x="0" y="0"/>
                      <a:ext cx="7573645" cy="10800080"/>
                    </a:xfrm>
                    <a:prstGeom prst="rect">
                      <a:avLst/>
                    </a:prstGeom>
                  </pic:spPr>
                </pic:pic>
              </a:graphicData>
            </a:graphic>
          </wp:anchor>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F52FD2"/>
    <w:multiLevelType w:val="multilevel"/>
    <w:tmpl w:val="0DF52FD2"/>
    <w:lvl w:ilvl="0" w:tentative="0">
      <w:start w:val="1"/>
      <w:numFmt w:val="japaneseCounting"/>
      <w:lvlText w:val="%1、"/>
      <w:lvlJc w:val="left"/>
      <w:pPr>
        <w:ind w:left="504" w:hanging="50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E0C19F"/>
    <w:multiLevelType w:val="singleLevel"/>
    <w:tmpl w:val="36E0C19F"/>
    <w:lvl w:ilvl="0" w:tentative="0">
      <w:start w:val="8"/>
      <w:numFmt w:val="chineseCounting"/>
      <w:suff w:val="nothing"/>
      <w:lvlText w:val="%1、"/>
      <w:lvlJc w:val="left"/>
      <w:rPr>
        <w:rFonts w:hint="eastAsia"/>
        <w:b/>
        <w:bCs/>
      </w:rPr>
    </w:lvl>
  </w:abstractNum>
  <w:abstractNum w:abstractNumId="2">
    <w:nsid w:val="494512AA"/>
    <w:multiLevelType w:val="singleLevel"/>
    <w:tmpl w:val="494512AA"/>
    <w:lvl w:ilvl="0" w:tentative="0">
      <w:start w:val="1"/>
      <w:numFmt w:val="decimal"/>
      <w:lvlText w:val="%1、"/>
      <w:lvlJc w:val="left"/>
      <w:pPr>
        <w:tabs>
          <w:tab w:val="left" w:pos="785"/>
        </w:tabs>
        <w:ind w:left="785" w:hanging="360"/>
      </w:pPr>
      <w:rPr>
        <w:rFonts w:hint="eastAsia"/>
        <w:b w:val="0"/>
      </w:rPr>
    </w:lvl>
  </w:abstractNum>
  <w:abstractNum w:abstractNumId="3">
    <w:nsid w:val="4DAB6CCB"/>
    <w:multiLevelType w:val="singleLevel"/>
    <w:tmpl w:val="4DAB6CCB"/>
    <w:lvl w:ilvl="0" w:tentative="0">
      <w:start w:val="1"/>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2NTExZmU5ZGQ3MmQ3MGE1OGMyM2M0MjQzNmVkMGMifQ=="/>
  </w:docVars>
  <w:rsids>
    <w:rsidRoot w:val="00B449A8"/>
    <w:rsid w:val="00084E4C"/>
    <w:rsid w:val="0009227D"/>
    <w:rsid w:val="000D1F59"/>
    <w:rsid w:val="00107762"/>
    <w:rsid w:val="001B1F7B"/>
    <w:rsid w:val="001E54D7"/>
    <w:rsid w:val="002007CE"/>
    <w:rsid w:val="002447DD"/>
    <w:rsid w:val="002602AC"/>
    <w:rsid w:val="00283F45"/>
    <w:rsid w:val="002D409B"/>
    <w:rsid w:val="002E0735"/>
    <w:rsid w:val="00373AB4"/>
    <w:rsid w:val="003C28D0"/>
    <w:rsid w:val="003D2CFC"/>
    <w:rsid w:val="004324C5"/>
    <w:rsid w:val="004E54D9"/>
    <w:rsid w:val="005041BA"/>
    <w:rsid w:val="005256BD"/>
    <w:rsid w:val="00556F7C"/>
    <w:rsid w:val="005602F7"/>
    <w:rsid w:val="00571A4A"/>
    <w:rsid w:val="005C0AFC"/>
    <w:rsid w:val="00617E1A"/>
    <w:rsid w:val="00662A1B"/>
    <w:rsid w:val="006A28DF"/>
    <w:rsid w:val="006B4438"/>
    <w:rsid w:val="00702EF9"/>
    <w:rsid w:val="00734FBD"/>
    <w:rsid w:val="00793BB0"/>
    <w:rsid w:val="00796EC5"/>
    <w:rsid w:val="007A7D72"/>
    <w:rsid w:val="007B2B9A"/>
    <w:rsid w:val="007D2F8B"/>
    <w:rsid w:val="008A11EB"/>
    <w:rsid w:val="008C6D21"/>
    <w:rsid w:val="008E72E8"/>
    <w:rsid w:val="00917B99"/>
    <w:rsid w:val="00922D16"/>
    <w:rsid w:val="00927075"/>
    <w:rsid w:val="00983FD5"/>
    <w:rsid w:val="00A27D42"/>
    <w:rsid w:val="00A43720"/>
    <w:rsid w:val="00A63827"/>
    <w:rsid w:val="00A814A8"/>
    <w:rsid w:val="00A852BE"/>
    <w:rsid w:val="00B03A0C"/>
    <w:rsid w:val="00B449A8"/>
    <w:rsid w:val="00B60450"/>
    <w:rsid w:val="00B61695"/>
    <w:rsid w:val="00B8312F"/>
    <w:rsid w:val="00B86EAA"/>
    <w:rsid w:val="00C1356F"/>
    <w:rsid w:val="00CB24FB"/>
    <w:rsid w:val="00CF626E"/>
    <w:rsid w:val="00D243E4"/>
    <w:rsid w:val="00D32C03"/>
    <w:rsid w:val="00D63546"/>
    <w:rsid w:val="00D704CB"/>
    <w:rsid w:val="00D810D6"/>
    <w:rsid w:val="00D83230"/>
    <w:rsid w:val="00E05A2C"/>
    <w:rsid w:val="00E35351"/>
    <w:rsid w:val="00E4346E"/>
    <w:rsid w:val="00E45A9E"/>
    <w:rsid w:val="00E57BF9"/>
    <w:rsid w:val="00E64D7E"/>
    <w:rsid w:val="00E67E48"/>
    <w:rsid w:val="00EB0A77"/>
    <w:rsid w:val="00EC322D"/>
    <w:rsid w:val="00ED7803"/>
    <w:rsid w:val="00EE0331"/>
    <w:rsid w:val="00F04A54"/>
    <w:rsid w:val="00F20260"/>
    <w:rsid w:val="00F941EE"/>
    <w:rsid w:val="00F9791F"/>
    <w:rsid w:val="00FE62FF"/>
    <w:rsid w:val="2384518F"/>
    <w:rsid w:val="2EB53A75"/>
    <w:rsid w:val="3E0816F4"/>
    <w:rsid w:val="491F25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3"/>
    <w:qFormat/>
    <w:uiPriority w:val="0"/>
    <w:pPr>
      <w:keepNext/>
      <w:jc w:val="center"/>
      <w:outlineLvl w:val="0"/>
    </w:pPr>
    <w:rPr>
      <w:b/>
      <w:bCs/>
      <w:sz w:val="24"/>
      <w:szCs w:val="20"/>
    </w:rPr>
  </w:style>
  <w:style w:type="paragraph" w:styleId="2">
    <w:name w:val="heading 2"/>
    <w:basedOn w:val="1"/>
    <w:next w:val="1"/>
    <w:unhideWhenUsed/>
    <w:qFormat/>
    <w:uiPriority w:val="0"/>
    <w:pPr>
      <w:spacing w:line="360" w:lineRule="auto"/>
      <w:jc w:val="center"/>
      <w:outlineLvl w:val="1"/>
    </w:pPr>
    <w:rPr>
      <w:b/>
      <w:bCs/>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semiHidden/>
    <w:unhideWhenUsed/>
    <w:qFormat/>
    <w:uiPriority w:val="99"/>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22"/>
    <w:rPr>
      <w:b/>
      <w:bCs/>
    </w:rPr>
  </w:style>
  <w:style w:type="character" w:customStyle="1" w:styleId="10">
    <w:name w:val="页眉 Char"/>
    <w:basedOn w:val="8"/>
    <w:link w:val="6"/>
    <w:semiHidden/>
    <w:qFormat/>
    <w:uiPriority w:val="99"/>
    <w:rPr>
      <w:sz w:val="18"/>
      <w:szCs w:val="18"/>
    </w:rPr>
  </w:style>
  <w:style w:type="character" w:customStyle="1" w:styleId="11">
    <w:name w:val="页脚 Char"/>
    <w:basedOn w:val="8"/>
    <w:link w:val="5"/>
    <w:semiHidden/>
    <w:qFormat/>
    <w:uiPriority w:val="99"/>
    <w:rPr>
      <w:sz w:val="18"/>
      <w:szCs w:val="18"/>
    </w:rPr>
  </w:style>
  <w:style w:type="character" w:customStyle="1" w:styleId="12">
    <w:name w:val="标题 1 Char"/>
    <w:basedOn w:val="8"/>
    <w:qFormat/>
    <w:uiPriority w:val="9"/>
    <w:rPr>
      <w:rFonts w:ascii="Times New Roman" w:hAnsi="Times New Roman" w:eastAsia="宋体" w:cs="Times New Roman"/>
      <w:b/>
      <w:bCs/>
      <w:kern w:val="44"/>
      <w:sz w:val="44"/>
      <w:szCs w:val="44"/>
    </w:rPr>
  </w:style>
  <w:style w:type="character" w:customStyle="1" w:styleId="13">
    <w:name w:val="标题 1 Char1"/>
    <w:link w:val="3"/>
    <w:qFormat/>
    <w:uiPriority w:val="0"/>
    <w:rPr>
      <w:rFonts w:ascii="Times New Roman" w:hAnsi="Times New Roman" w:eastAsia="宋体" w:cs="Times New Roman"/>
      <w:b/>
      <w:bCs/>
      <w:sz w:val="24"/>
      <w:szCs w:val="20"/>
    </w:rPr>
  </w:style>
  <w:style w:type="paragraph" w:styleId="14">
    <w:name w:val="List Paragraph"/>
    <w:basedOn w:val="1"/>
    <w:qFormat/>
    <w:uiPriority w:val="34"/>
    <w:pPr>
      <w:ind w:firstLine="420" w:firstLineChars="200"/>
    </w:p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image" Target="media/image1.jpeg"/>
  <Relationship Id="rId5" Type="http://schemas.openxmlformats.org/officeDocument/2006/relationships/numbering" Target="numbering.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1000</Words>
  <Characters>5702</Characters>
  <Lines>47</Lines>
  <Paragraphs>13</Paragraphs>
  <TotalTime>12</TotalTime>
  <ScaleCrop>false</ScaleCrop>
  <LinksUpToDate>false</LinksUpToDate>
  <CharactersWithSpaces>6689</CharactersWithSpaces>
  <Application>WPS Office_11.1.0.14036_F1E327BC-269C-435d-A152-05C5408002CA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2023-04-12T08:01:00Z</dcterms:created>
  <dc:creator>tsg0020</dc:creator>
  <lastModifiedBy>冰糖柠檬</lastModifiedBy>
  <dcterms:modified xsi:type="dcterms:W3CDTF">2023-05-04T08:09:47Z</dcterms:modified>
  <revision>73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7D97163391BF48E1B05E62589DB418FA_13</vt:lpwstr>
  </property>
</Properties>
</file>