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left"/>
        <w:rPr>
          <w:rFonts w:eastAsia="隶书"/>
          <w:color w:val="auto"/>
          <w:sz w:val="52"/>
        </w:rPr>
      </w:pPr>
      <w:bookmarkStart w:id="0" w:name="_GoBack"/>
      <w:bookmarkEnd w:id="0"/>
      <w:r>
        <w:rPr>
          <w:rFonts w:hint="eastAsia"/>
          <w:color w:val="auto"/>
        </w:rPr>
        <w:t xml:space="preserve">合同编号：豫财竞谈-2021-95       </w:t>
      </w:r>
    </w:p>
    <w:p>
      <w:pPr>
        <w:spacing w:line="360" w:lineRule="auto"/>
        <w:jc w:val="center"/>
        <w:rPr>
          <w:rFonts w:eastAsia="隶书"/>
          <w:color w:val="auto"/>
          <w:sz w:val="52"/>
        </w:rPr>
      </w:pPr>
    </w:p>
    <w:p>
      <w:pPr>
        <w:spacing w:line="360" w:lineRule="auto"/>
        <w:jc w:val="center"/>
        <w:rPr>
          <w:rFonts w:eastAsia="隶书"/>
          <w:color w:val="auto"/>
          <w:sz w:val="52"/>
        </w:rPr>
      </w:pPr>
      <w:r>
        <w:rPr>
          <w:rFonts w:hint="eastAsia" w:eastAsia="隶书"/>
          <w:color w:val="auto"/>
          <w:sz w:val="52"/>
        </w:rPr>
        <w:t>郑州大学</w:t>
      </w:r>
      <w:r>
        <w:rPr>
          <w:rFonts w:hint="eastAsia" w:eastAsia="隶书"/>
          <w:color w:val="auto"/>
          <w:sz w:val="52"/>
          <w:u w:val="single"/>
        </w:rPr>
        <w:t>（</w:t>
      </w:r>
      <w:r>
        <w:rPr>
          <w:rFonts w:eastAsia="隶书"/>
          <w:color w:val="auto"/>
          <w:sz w:val="52"/>
          <w:u w:val="single"/>
        </w:rPr>
        <w:t>服务）</w:t>
      </w:r>
      <w:r>
        <w:rPr>
          <w:rFonts w:hint="eastAsia" w:eastAsia="隶书"/>
          <w:color w:val="auto"/>
          <w:sz w:val="52"/>
        </w:rPr>
        <w:t>采购合同</w:t>
      </w:r>
    </w:p>
    <w:p>
      <w:pPr>
        <w:spacing w:line="360" w:lineRule="auto"/>
        <w:rPr>
          <w:b/>
          <w:color w:val="auto"/>
          <w:sz w:val="24"/>
        </w:rPr>
      </w:pPr>
    </w:p>
    <w:p>
      <w:pPr>
        <w:spacing w:line="360" w:lineRule="auto"/>
        <w:rPr>
          <w:color w:val="auto"/>
          <w:sz w:val="28"/>
          <w:szCs w:val="28"/>
        </w:rPr>
      </w:pPr>
      <w:r>
        <w:rPr>
          <w:rFonts w:hint="eastAsia"/>
          <w:b/>
          <w:color w:val="auto"/>
          <w:sz w:val="28"/>
          <w:szCs w:val="28"/>
        </w:rPr>
        <w:t>甲方</w:t>
      </w:r>
      <w:r>
        <w:rPr>
          <w:rFonts w:hint="eastAsia"/>
          <w:color w:val="auto"/>
          <w:sz w:val="28"/>
          <w:szCs w:val="28"/>
        </w:rPr>
        <w:t>：</w:t>
      </w:r>
      <w:r>
        <w:rPr>
          <w:rFonts w:hint="eastAsia"/>
          <w:color w:val="auto"/>
          <w:sz w:val="28"/>
          <w:szCs w:val="28"/>
          <w:u w:val="single"/>
        </w:rPr>
        <w:t xml:space="preserve">         郑州大学        </w:t>
      </w:r>
      <w:r>
        <w:rPr>
          <w:rFonts w:hint="eastAsia"/>
          <w:color w:val="auto"/>
          <w:sz w:val="28"/>
          <w:szCs w:val="28"/>
        </w:rPr>
        <w:t xml:space="preserve"> </w:t>
      </w:r>
      <w:r>
        <w:rPr>
          <w:color w:val="auto"/>
          <w:sz w:val="28"/>
          <w:szCs w:val="28"/>
        </w:rPr>
        <w:t xml:space="preserve"> </w:t>
      </w:r>
      <w:r>
        <w:rPr>
          <w:rFonts w:hint="eastAsia"/>
          <w:color w:val="auto"/>
          <w:sz w:val="28"/>
          <w:szCs w:val="28"/>
        </w:rPr>
        <w:t xml:space="preserve">                    </w:t>
      </w:r>
      <w:r>
        <w:rPr>
          <w:color w:val="auto"/>
          <w:sz w:val="28"/>
          <w:szCs w:val="28"/>
        </w:rPr>
        <w:t xml:space="preserve">     </w:t>
      </w:r>
    </w:p>
    <w:p>
      <w:pPr>
        <w:spacing w:line="360" w:lineRule="auto"/>
        <w:rPr>
          <w:color w:val="auto"/>
          <w:sz w:val="24"/>
        </w:rPr>
      </w:pPr>
      <w:r>
        <w:rPr>
          <w:rFonts w:hint="eastAsia"/>
          <w:b/>
          <w:color w:val="auto"/>
          <w:sz w:val="28"/>
          <w:szCs w:val="28"/>
        </w:rPr>
        <w:t>乙方</w:t>
      </w:r>
      <w:r>
        <w:rPr>
          <w:rFonts w:hint="eastAsia"/>
          <w:color w:val="auto"/>
          <w:sz w:val="28"/>
          <w:szCs w:val="28"/>
        </w:rPr>
        <w:t>：</w:t>
      </w:r>
      <w:r>
        <w:rPr>
          <w:rFonts w:hint="eastAsia"/>
          <w:color w:val="auto"/>
          <w:sz w:val="28"/>
          <w:szCs w:val="28"/>
          <w:u w:val="single"/>
        </w:rPr>
        <w:t xml:space="preserve">河南融浩通信工程有限公司 </w:t>
      </w:r>
      <w:r>
        <w:rPr>
          <w:rFonts w:hint="eastAsia"/>
          <w:color w:val="auto"/>
          <w:sz w:val="28"/>
          <w:szCs w:val="28"/>
        </w:rPr>
        <w:t xml:space="preserve"> </w:t>
      </w:r>
      <w:r>
        <w:rPr>
          <w:rFonts w:hint="eastAsia"/>
          <w:color w:val="auto"/>
          <w:sz w:val="24"/>
        </w:rPr>
        <w:t xml:space="preserve">        </w:t>
      </w:r>
    </w:p>
    <w:p>
      <w:pPr>
        <w:spacing w:line="360" w:lineRule="auto"/>
        <w:ind w:firstLine="480" w:firstLineChars="200"/>
        <w:rPr>
          <w:color w:val="auto"/>
          <w:sz w:val="24"/>
        </w:rPr>
      </w:pPr>
      <w:r>
        <w:rPr>
          <w:rFonts w:hint="eastAsia" w:ascii="宋体" w:hAnsi="宋体" w:cs="宋体"/>
          <w:color w:val="auto"/>
          <w:sz w:val="24"/>
          <w:szCs w:val="24"/>
        </w:rPr>
        <w:t>本合同于</w:t>
      </w:r>
      <w:r>
        <w:rPr>
          <w:rFonts w:ascii="宋体" w:hAnsi="宋体" w:cs="宋体"/>
          <w:color w:val="auto"/>
          <w:sz w:val="24"/>
          <w:szCs w:val="24"/>
          <w:u w:val="single"/>
        </w:rPr>
        <w:t xml:space="preserve">  </w:t>
      </w:r>
      <w:r>
        <w:rPr>
          <w:rFonts w:hint="eastAsia" w:ascii="宋体" w:hAnsi="宋体" w:cs="宋体"/>
          <w:color w:val="auto"/>
          <w:sz w:val="24"/>
          <w:szCs w:val="24"/>
          <w:u w:val="single"/>
        </w:rPr>
        <w:t>2021</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rPr>
        <w:t>12</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8</w:t>
      </w:r>
      <w:r>
        <w:rPr>
          <w:rFonts w:ascii="宋体" w:hAnsi="宋体" w:cs="宋体"/>
          <w:color w:val="auto"/>
          <w:sz w:val="24"/>
          <w:szCs w:val="24"/>
          <w:u w:val="single"/>
        </w:rPr>
        <w:t xml:space="preserve"> </w:t>
      </w:r>
      <w:r>
        <w:rPr>
          <w:rFonts w:hint="eastAsia" w:ascii="宋体" w:hAnsi="宋体" w:cs="宋体"/>
          <w:color w:val="auto"/>
          <w:sz w:val="24"/>
          <w:szCs w:val="24"/>
        </w:rPr>
        <w:t>日由甲乙双方按下述条款签署。</w:t>
      </w:r>
      <w:r>
        <w:rPr>
          <w:rFonts w:hint="eastAsia"/>
          <w:color w:val="auto"/>
          <w:sz w:val="24"/>
        </w:rPr>
        <w:t xml:space="preserve">                     </w:t>
      </w:r>
    </w:p>
    <w:p>
      <w:pPr>
        <w:numPr>
          <w:ilvl w:val="0"/>
          <w:numId w:val="2"/>
        </w:numPr>
        <w:spacing w:line="360" w:lineRule="auto"/>
        <w:rPr>
          <w:b/>
          <w:color w:val="auto"/>
          <w:sz w:val="24"/>
        </w:rPr>
      </w:pPr>
      <w:r>
        <w:rPr>
          <w:rFonts w:hint="eastAsia"/>
          <w:b/>
          <w:color w:val="auto"/>
          <w:sz w:val="24"/>
        </w:rPr>
        <w:t>合同内容及</w:t>
      </w:r>
      <w:r>
        <w:rPr>
          <w:b/>
          <w:color w:val="auto"/>
          <w:sz w:val="24"/>
        </w:rPr>
        <w:t>要求</w:t>
      </w:r>
      <w:r>
        <w:rPr>
          <w:rFonts w:hint="eastAsia"/>
          <w:b/>
          <w:color w:val="auto"/>
          <w:sz w:val="24"/>
        </w:rPr>
        <w:t>：</w:t>
      </w:r>
    </w:p>
    <w:p>
      <w:pPr>
        <w:spacing w:line="360" w:lineRule="auto"/>
        <w:ind w:firstLine="482" w:firstLineChars="200"/>
        <w:rPr>
          <w:rFonts w:ascii="宋体" w:hAnsi="宋体"/>
          <w:color w:val="auto"/>
          <w:szCs w:val="21"/>
        </w:rPr>
      </w:pPr>
      <w:r>
        <w:rPr>
          <w:rFonts w:hint="eastAsia"/>
          <w:b/>
          <w:color w:val="auto"/>
          <w:sz w:val="24"/>
        </w:rPr>
        <w:t>合同内容：</w:t>
      </w:r>
      <w:r>
        <w:rPr>
          <w:rFonts w:hint="eastAsia" w:ascii="宋体" w:hAnsi="宋体"/>
          <w:color w:val="auto"/>
          <w:sz w:val="24"/>
          <w:szCs w:val="24"/>
        </w:rPr>
        <w:t>根据网络安全等级保护相关标准，中心系统建设完成后须满足等级保护标准2.0满足的第三级系统安全保护要求，并能够提供定制化的安全增值服务，具体内容详见竞争性谈判文件。</w:t>
      </w:r>
    </w:p>
    <w:p>
      <w:pPr>
        <w:pStyle w:val="2"/>
        <w:spacing w:line="360" w:lineRule="auto"/>
        <w:ind w:left="0" w:leftChars="0" w:firstLine="482"/>
        <w:rPr>
          <w:color w:val="auto"/>
        </w:rPr>
      </w:pPr>
      <w:r>
        <w:rPr>
          <w:rFonts w:hint="eastAsia" w:ascii="Times New Roman" w:hAnsi="Times New Roman"/>
          <w:b/>
          <w:color w:val="auto"/>
          <w:sz w:val="24"/>
        </w:rPr>
        <w:t>合同要求：</w:t>
      </w:r>
      <w:r>
        <w:rPr>
          <w:rFonts w:hint="eastAsia" w:ascii="宋体" w:hAnsi="宋体"/>
          <w:color w:val="auto"/>
          <w:sz w:val="24"/>
          <w:szCs w:val="24"/>
          <w:lang w:val="en-US" w:eastAsia="zh-CN"/>
        </w:rPr>
        <w:t>见竞谈文件第三章</w:t>
      </w:r>
      <w:r>
        <w:rPr>
          <w:rFonts w:hint="eastAsia" w:ascii="宋体" w:hAnsi="宋体"/>
          <w:color w:val="auto"/>
          <w:sz w:val="24"/>
          <w:szCs w:val="24"/>
        </w:rPr>
        <w:t>。</w:t>
      </w:r>
    </w:p>
    <w:p>
      <w:pPr>
        <w:numPr>
          <w:ilvl w:val="0"/>
          <w:numId w:val="2"/>
        </w:numPr>
        <w:spacing w:line="360" w:lineRule="auto"/>
        <w:rPr>
          <w:b/>
          <w:color w:val="auto"/>
          <w:sz w:val="24"/>
        </w:rPr>
      </w:pPr>
      <w:r>
        <w:rPr>
          <w:rFonts w:hint="eastAsia"/>
          <w:b/>
          <w:color w:val="auto"/>
          <w:sz w:val="24"/>
        </w:rPr>
        <w:t>本合同总价款（大写）为：</w:t>
      </w:r>
      <w:r>
        <w:rPr>
          <w:rFonts w:hint="eastAsia" w:ascii="宋体" w:hAnsi="宋体" w:cs="宋体"/>
          <w:bCs/>
          <w:color w:val="auto"/>
          <w:sz w:val="24"/>
        </w:rPr>
        <w:t>壹佰肆拾陆万伍仟</w:t>
      </w:r>
      <w:r>
        <w:rPr>
          <w:rFonts w:hint="eastAsia" w:ascii="宋体" w:hAnsi="宋体" w:cs="宋体"/>
          <w:bCs/>
          <w:color w:val="auto"/>
          <w:sz w:val="24"/>
          <w:lang w:eastAsia="zh-CN"/>
        </w:rPr>
        <w:t>圆</w:t>
      </w:r>
      <w:r>
        <w:rPr>
          <w:rFonts w:hint="eastAsia" w:ascii="宋体" w:hAnsi="宋体" w:cs="宋体"/>
          <w:bCs/>
          <w:color w:val="auto"/>
          <w:sz w:val="24"/>
        </w:rPr>
        <w:t>整（小写￥1465000元）</w:t>
      </w:r>
    </w:p>
    <w:p>
      <w:pPr>
        <w:spacing w:line="360" w:lineRule="auto"/>
        <w:rPr>
          <w:b/>
          <w:color w:val="auto"/>
          <w:sz w:val="24"/>
        </w:rPr>
      </w:pPr>
      <w:r>
        <w:rPr>
          <w:rFonts w:hint="eastAsia"/>
          <w:b/>
          <w:color w:val="auto"/>
          <w:sz w:val="24"/>
        </w:rPr>
        <w:t>三、质量要求或</w:t>
      </w:r>
      <w:r>
        <w:rPr>
          <w:b/>
          <w:color w:val="auto"/>
          <w:sz w:val="24"/>
        </w:rPr>
        <w:t>服务</w:t>
      </w:r>
      <w:r>
        <w:rPr>
          <w:rFonts w:hint="eastAsia"/>
          <w:b/>
          <w:color w:val="auto"/>
          <w:sz w:val="24"/>
        </w:rPr>
        <w:t>标准，乙方对质量负责的条件和期限：</w:t>
      </w:r>
    </w:p>
    <w:p>
      <w:pPr>
        <w:spacing w:line="360" w:lineRule="auto"/>
        <w:ind w:firstLine="482" w:firstLineChars="200"/>
        <w:rPr>
          <w:rFonts w:hint="eastAsia" w:ascii="宋体" w:hAnsi="宋体" w:cs="宋体"/>
          <w:bCs/>
          <w:color w:val="auto"/>
          <w:sz w:val="24"/>
        </w:rPr>
      </w:pPr>
      <w:r>
        <w:rPr>
          <w:rFonts w:hint="eastAsia"/>
          <w:b/>
          <w:color w:val="auto"/>
          <w:sz w:val="24"/>
        </w:rPr>
        <w:t>质量要求：</w:t>
      </w:r>
      <w:r>
        <w:rPr>
          <w:rFonts w:hint="eastAsia" w:ascii="宋体" w:hAnsi="宋体" w:cs="宋体"/>
          <w:bCs/>
          <w:color w:val="auto"/>
          <w:sz w:val="24"/>
        </w:rPr>
        <w:t>满足采购人要求。</w:t>
      </w:r>
    </w:p>
    <w:p>
      <w:pPr>
        <w:pStyle w:val="2"/>
        <w:ind w:left="0" w:leftChars="0" w:firstLine="482" w:firstLineChars="200"/>
        <w:rPr>
          <w:rFonts w:hint="default" w:ascii="Times New Roman" w:hAnsi="Times New Roman" w:cs="Times New Roman"/>
          <w:b/>
          <w:color w:val="auto"/>
          <w:kern w:val="2"/>
          <w:sz w:val="24"/>
          <w:lang w:eastAsia="zh-Hans" w:bidi="ar-SA"/>
        </w:rPr>
      </w:pPr>
      <w:r>
        <w:rPr>
          <w:rFonts w:hint="eastAsia" w:ascii="Times New Roman" w:hAnsi="Times New Roman" w:eastAsia="宋体" w:cs="Times New Roman"/>
          <w:b/>
          <w:color w:val="auto"/>
          <w:kern w:val="2"/>
          <w:sz w:val="24"/>
          <w:lang w:val="en-US" w:eastAsia="zh-Hans" w:bidi="ar-SA"/>
        </w:rPr>
        <w:t>项目采购需求及相关要求</w:t>
      </w:r>
      <w:r>
        <w:rPr>
          <w:rFonts w:hint="default" w:ascii="Times New Roman" w:hAnsi="Times New Roman" w:cs="Times New Roman"/>
          <w:b/>
          <w:color w:val="auto"/>
          <w:kern w:val="2"/>
          <w:sz w:val="24"/>
          <w:lang w:eastAsia="zh-Hans" w:bidi="ar-SA"/>
        </w:rPr>
        <w:t>：</w:t>
      </w:r>
      <w:r>
        <w:rPr>
          <w:rFonts w:hint="eastAsia" w:ascii="Times New Roman" w:hAnsi="Times New Roman" w:cs="Times New Roman"/>
          <w:b/>
          <w:color w:val="auto"/>
          <w:kern w:val="2"/>
          <w:sz w:val="24"/>
          <w:lang w:val="en-US" w:eastAsia="zh-Hans" w:bidi="ar-SA"/>
        </w:rPr>
        <w:t>如下</w:t>
      </w:r>
      <w:r>
        <w:rPr>
          <w:rFonts w:hint="default" w:ascii="Times New Roman" w:hAnsi="Times New Roman" w:cs="Times New Roman"/>
          <w:b/>
          <w:color w:val="auto"/>
          <w:kern w:val="2"/>
          <w:sz w:val="24"/>
          <w:lang w:eastAsia="zh-Hans" w:bidi="ar-SA"/>
        </w:rPr>
        <w:t>。</w:t>
      </w:r>
    </w:p>
    <w:p>
      <w:pPr>
        <w:spacing w:line="360" w:lineRule="auto"/>
        <w:ind w:firstLine="480" w:firstLineChars="200"/>
        <w:rPr>
          <w:rFonts w:hint="eastAsia" w:ascii="宋体" w:hAnsi="宋体" w:cs="宋体"/>
          <w:color w:val="auto"/>
          <w:szCs w:val="21"/>
          <w:lang w:eastAsia="zh-Hans"/>
        </w:rPr>
      </w:pPr>
      <w:r>
        <w:rPr>
          <w:rFonts w:hint="eastAsia" w:ascii="宋体" w:hAnsi="宋体"/>
          <w:color w:val="auto"/>
          <w:lang w:eastAsia="zh-Hans"/>
        </w:rPr>
        <w:t>河南省超级计算中心（国家超级计算郑州中心）</w:t>
      </w:r>
      <w:r>
        <w:rPr>
          <w:rFonts w:hint="eastAsia" w:ascii="宋体" w:hAnsi="宋体" w:cs="宋体"/>
          <w:color w:val="auto"/>
          <w:szCs w:val="21"/>
          <w:lang w:eastAsia="zh-Hans"/>
        </w:rPr>
        <w:t>以应用需求为导向，立足河南、服务全国，为全省企业、高等院校、科研机构等各类企事业单位提供强大计算服务和数据处理服务，依托完善的生态与良好的兼容性，面向众多不同领域与行业应用需求，提供高性能计算、人工智能、大数据、行业应用等软件资源服务，重点围绕数字经济、社会管理、精准医学、生物育种、环境治理、高端装备、人工智能、国土资源管理等方面开展重点特色应用；随着</w:t>
      </w:r>
      <w:r>
        <w:rPr>
          <w:rFonts w:hint="eastAsia" w:ascii="宋体" w:hAnsi="宋体"/>
          <w:color w:val="auto"/>
          <w:lang w:eastAsia="zh-Hans"/>
        </w:rPr>
        <w:t>河南省超级计算中心（国家超级计算郑州中心）当前</w:t>
      </w:r>
      <w:r>
        <w:rPr>
          <w:rFonts w:hint="eastAsia" w:ascii="宋体" w:hAnsi="宋体" w:cs="宋体"/>
          <w:color w:val="auto"/>
          <w:szCs w:val="21"/>
          <w:lang w:eastAsia="zh-Hans"/>
        </w:rPr>
        <w:t>业务的不断发展，用户业务接入量的不断扩大，所面临的安全威胁与安全需求也越来越复杂多样，</w:t>
      </w:r>
      <w:r>
        <w:rPr>
          <w:rFonts w:hint="eastAsia" w:ascii="宋体" w:hAnsi="宋体"/>
          <w:color w:val="auto"/>
          <w:lang w:eastAsia="zh-Hans"/>
        </w:rPr>
        <w:t>考虑到中心核心业务系统等级保护建设（三级）的目标和常态化的安全服务需求，本次服务应基于</w:t>
      </w:r>
      <w:r>
        <w:rPr>
          <w:rFonts w:hint="eastAsia" w:ascii="宋体" w:hAnsi="宋体" w:cs="宋体"/>
          <w:color w:val="auto"/>
          <w:szCs w:val="21"/>
          <w:lang w:eastAsia="zh-Hans"/>
        </w:rPr>
        <w:t>当前超算中心的业务发展方向和等保建设差距健全超算中心安全保障体系，</w:t>
      </w:r>
      <w:r>
        <w:rPr>
          <w:rFonts w:hint="eastAsia" w:ascii="宋体" w:hAnsi="宋体"/>
          <w:color w:val="auto"/>
          <w:lang w:eastAsia="zh-Hans"/>
        </w:rPr>
        <w:t xml:space="preserve">要求本次服务依据信息安全防御体系建设有关的法律法规和技术标准，切实提升超算中心常态化安全运维能力，促进核心业务系统达到等级保护建设（三级）的能力。 </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85"/>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3" w:type="pct"/>
            <w:noWrap w:val="0"/>
            <w:vAlign w:val="top"/>
          </w:tcPr>
          <w:p>
            <w:pPr>
              <w:autoSpaceDE w:val="0"/>
              <w:autoSpaceDN w:val="0"/>
              <w:adjustRightInd w:val="0"/>
              <w:snapToGrid w:val="0"/>
              <w:jc w:val="center"/>
              <w:rPr>
                <w:rFonts w:hint="eastAsia" w:ascii="宋体" w:hAnsi="宋体" w:cs="宋体"/>
                <w:b/>
                <w:bCs/>
                <w:color w:val="auto"/>
                <w:szCs w:val="21"/>
                <w:lang w:eastAsia="zh-Hans"/>
              </w:rPr>
            </w:pPr>
            <w:r>
              <w:rPr>
                <w:rFonts w:hint="eastAsia" w:ascii="宋体" w:hAnsi="宋体" w:cs="宋体"/>
                <w:b/>
                <w:bCs/>
                <w:color w:val="auto"/>
                <w:szCs w:val="21"/>
                <w:lang w:eastAsia="zh-Hans"/>
              </w:rPr>
              <w:t>序号</w:t>
            </w:r>
          </w:p>
        </w:tc>
        <w:tc>
          <w:tcPr>
            <w:tcW w:w="754" w:type="pct"/>
            <w:noWrap w:val="0"/>
            <w:vAlign w:val="top"/>
          </w:tcPr>
          <w:p>
            <w:pPr>
              <w:autoSpaceDE w:val="0"/>
              <w:autoSpaceDN w:val="0"/>
              <w:adjustRightInd w:val="0"/>
              <w:snapToGrid w:val="0"/>
              <w:jc w:val="center"/>
              <w:rPr>
                <w:rFonts w:hint="eastAsia" w:ascii="宋体" w:hAnsi="宋体" w:cs="宋体"/>
                <w:b/>
                <w:bCs/>
                <w:color w:val="auto"/>
                <w:szCs w:val="21"/>
                <w:lang w:eastAsia="zh-Hans"/>
              </w:rPr>
            </w:pPr>
            <w:r>
              <w:rPr>
                <w:rFonts w:hint="eastAsia" w:ascii="宋体" w:hAnsi="宋体" w:cs="宋体"/>
                <w:b/>
                <w:bCs/>
                <w:color w:val="auto"/>
                <w:szCs w:val="21"/>
                <w:lang w:eastAsia="zh-Hans"/>
              </w:rPr>
              <w:t>服务项</w:t>
            </w:r>
          </w:p>
        </w:tc>
        <w:tc>
          <w:tcPr>
            <w:tcW w:w="3851" w:type="pct"/>
            <w:noWrap w:val="0"/>
            <w:vAlign w:val="top"/>
          </w:tcPr>
          <w:p>
            <w:pPr>
              <w:autoSpaceDE w:val="0"/>
              <w:autoSpaceDN w:val="0"/>
              <w:adjustRightInd w:val="0"/>
              <w:snapToGrid w:val="0"/>
              <w:jc w:val="center"/>
              <w:rPr>
                <w:rFonts w:hint="eastAsia" w:ascii="宋体" w:hAnsi="宋体" w:cs="宋体"/>
                <w:b/>
                <w:bCs/>
                <w:color w:val="auto"/>
                <w:szCs w:val="21"/>
                <w:lang w:eastAsia="zh-Hans"/>
              </w:rPr>
            </w:pPr>
            <w:r>
              <w:rPr>
                <w:rFonts w:hint="eastAsia" w:ascii="宋体" w:hAnsi="宋体" w:cs="宋体"/>
                <w:b/>
                <w:bCs/>
                <w:color w:val="auto"/>
                <w:szCs w:val="21"/>
                <w:lang w:eastAsia="zh-Hans"/>
              </w:rPr>
              <w:t>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1</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安全</w:t>
            </w:r>
            <w:r>
              <w:rPr>
                <w:rFonts w:hint="eastAsia" w:ascii="宋体" w:hAnsi="宋体" w:cs="宋体"/>
                <w:color w:val="auto"/>
                <w:szCs w:val="21"/>
                <w:lang w:eastAsia="zh-Hans"/>
              </w:rPr>
              <w:t>服务对象</w:t>
            </w:r>
          </w:p>
        </w:tc>
        <w:tc>
          <w:tcPr>
            <w:tcW w:w="3851" w:type="pct"/>
            <w:noWrap w:val="0"/>
            <w:vAlign w:val="top"/>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1套先进计算平台、4套HPC管理系统、1套CAE调度系统、1套统一登录系统、1套消息管理系统、6套高性能计算存储管理系统、1套共享文件系统、1套智能运维平台、1套消防监控系统、1套动环监控系统、1套安防监控系统、2套人工智能训练平台、1套工单管理系统、1套DNS域名解析服务平台、2套云平台、1套用户资源申请审批系统、2套ansys调度系统、1套用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2</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系统安全风险持续监测服务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服务要求：要求在服务期内以现场服务的方式，采用专业安全监测工具和人工结合的手段对目标业务系统的安全状态进行全天候</w:t>
            </w:r>
            <w:r>
              <w:rPr>
                <w:rFonts w:ascii="宋体" w:hAnsi="宋体" w:cs="宋体"/>
                <w:color w:val="auto"/>
                <w:szCs w:val="21"/>
                <w:highlight w:val="none"/>
                <w:lang w:eastAsia="zh-Hans"/>
              </w:rPr>
              <w:t>7*24</w:t>
            </w:r>
            <w:r>
              <w:rPr>
                <w:rFonts w:hint="eastAsia" w:ascii="宋体" w:hAnsi="宋体" w:cs="宋体"/>
                <w:color w:val="auto"/>
                <w:szCs w:val="21"/>
                <w:highlight w:val="none"/>
                <w:lang w:eastAsia="zh-Hans"/>
              </w:rPr>
              <w:t>小时监测；</w:t>
            </w:r>
          </w:p>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lang w:eastAsia="zh-Hans"/>
              </w:rPr>
              <w:t>服务内容：采用专业的安全监测工具和人工结合的方法，通过部署于各信息节点的监测引擎对甲方指定的系统和平台进行可用率和安全性监测，以保障甲方系统和平台业务持续性，从而向甲方提供系统和平台安全的保障。服务需提供安全</w:t>
            </w:r>
            <w:r>
              <w:rPr>
                <w:rFonts w:hint="eastAsia" w:ascii="宋体" w:hAnsi="宋体" w:cs="宋体"/>
                <w:color w:val="auto"/>
                <w:szCs w:val="21"/>
                <w:highlight w:val="none"/>
              </w:rPr>
              <w:t>监测</w:t>
            </w:r>
            <w:r>
              <w:rPr>
                <w:rFonts w:hint="eastAsia" w:ascii="宋体" w:hAnsi="宋体" w:cs="宋体"/>
                <w:color w:val="auto"/>
                <w:szCs w:val="21"/>
                <w:highlight w:val="none"/>
                <w:lang w:eastAsia="zh-Hans"/>
              </w:rPr>
              <w:t>工具（千兆电口≥6个；支持旁路镜像模式部署及分布式部署，支持与现网威胁感知大数据平台</w:t>
            </w:r>
            <w:r>
              <w:rPr>
                <w:rFonts w:hint="eastAsia" w:ascii="宋体" w:hAnsi="宋体" w:cs="宋体"/>
                <w:color w:val="auto"/>
                <w:szCs w:val="21"/>
                <w:highlight w:val="none"/>
              </w:rPr>
              <w:t>进行数据推送服务</w:t>
            </w:r>
            <w:r>
              <w:rPr>
                <w:rFonts w:hint="eastAsia" w:ascii="宋体" w:hAnsi="宋体" w:cs="宋体"/>
                <w:color w:val="auto"/>
                <w:szCs w:val="21"/>
                <w:highlight w:val="none"/>
                <w:lang w:eastAsia="zh-Hans"/>
              </w:rPr>
              <w:t>（需提供现网威胁感知大数据平台厂商</w:t>
            </w:r>
            <w:r>
              <w:rPr>
                <w:rFonts w:hint="eastAsia" w:ascii="宋体" w:hAnsi="宋体" w:cs="宋体"/>
                <w:color w:val="auto"/>
                <w:szCs w:val="21"/>
                <w:highlight w:val="none"/>
              </w:rPr>
              <w:t>API开放服务承诺</w:t>
            </w:r>
            <w:r>
              <w:rPr>
                <w:rFonts w:hint="eastAsia" w:ascii="宋体" w:hAnsi="宋体" w:cs="宋体"/>
                <w:color w:val="auto"/>
                <w:szCs w:val="21"/>
                <w:highlight w:val="none"/>
                <w:lang w:eastAsia="zh-Hans"/>
              </w:rPr>
              <w:t>），持监测流量状态，基于时间维度记录并展示流入、流出流量情况，并记录流量的总流入流出情况。支持流量监测的开关控制。支持沙箱分析功能，分析结果包括但不限于文件名称、文件MD5、受感染主机、威胁指数、传播次数、动态检测结果、静态检测结果、病毒检测结果。支持跳转展示沙箱分析详情，展示文件的静态检测、动态检测、病毒检测结果。支持文件上传分析，分析维度包括但不限于文件名、文件类型、处理状态、检测结果、上传时间、检测完成时间、文件MD5。支持跳转展示文件上传分析详情，展示文件的静态检测、动态检测、病毒检测结果。并支持文件下载。支持邮件威胁分析，分析结果展示发件人、收件人邮箱地址、威胁指数、攻击类型、地址欺骗、恶意URL链接、敏感字。支持检测常见的邮件协议类型：SMTP、POP3、IMAP。工具自身具备流量采集及协议解析还原能力，支持解析的协议包括但不限于HTTP、FTP、TLS、SMB、DNS、DCERPC、SSH、SMTP、IMAP、MODBUS、DNP3、ENIP、NFS、IKEV2、KRB5、NTP、DHCP、RFB、RDP、SNMP、TFTP、SIP、HTTP2、POP3等 。工具支持基于虚拟执行的动态检测技术，可以基于软件在虚拟环境的行为及通用漏洞利用特征，分类识别各种病毒及未知恶意代码。）</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3</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系统安全事件应急防御服务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服务要求：要求在服务期内以现场服务的方式，采用专业安全防御工具和人工结合的手段对目标业务系统的安全事件进行全天候</w:t>
            </w:r>
            <w:r>
              <w:rPr>
                <w:rFonts w:ascii="宋体" w:hAnsi="宋体" w:cs="宋体"/>
                <w:color w:val="auto"/>
                <w:szCs w:val="21"/>
                <w:lang w:eastAsia="zh-Hans"/>
              </w:rPr>
              <w:t>7*24</w:t>
            </w:r>
            <w:r>
              <w:rPr>
                <w:rFonts w:hint="eastAsia" w:ascii="宋体" w:hAnsi="宋体" w:cs="宋体"/>
                <w:color w:val="auto"/>
                <w:szCs w:val="21"/>
                <w:lang w:eastAsia="zh-Hans"/>
              </w:rPr>
              <w:t>小时防御；</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lang w:eastAsia="zh-Hans"/>
              </w:rPr>
              <w:t>服务内容：采用专业的安全防御工具和人工结合的方法，通过部署于各信息节点的监测引擎发现的安全事件进行应急响应处理，以保障甲方系统和平台业务持续性，从而向甲方提供系统和平台安全的保障。服务中需提供安全防御工具（千兆电口≥8个，千兆光口≥2个，攻击防御性能≥600M</w:t>
            </w:r>
            <w:r>
              <w:rPr>
                <w:rFonts w:hint="eastAsia" w:ascii="宋体" w:hAnsi="宋体" w:cs="宋体"/>
                <w:color w:val="auto"/>
                <w:szCs w:val="21"/>
              </w:rPr>
              <w:t>bps</w:t>
            </w:r>
            <w:r>
              <w:rPr>
                <w:rFonts w:hint="eastAsia" w:ascii="宋体" w:hAnsi="宋体" w:cs="宋体"/>
                <w:color w:val="auto"/>
                <w:szCs w:val="21"/>
                <w:lang w:eastAsia="zh-Hans"/>
              </w:rPr>
              <w:t>。支持SQL注入、跨站脚本攻击、会话劫持等攻击防护；支持Web服务器加固：服务器信息隐藏、网络爬虫检测和阻止；支持Web流量优化：负载均衡、Web加速、SSL卸载，有效保障交互过程中数据的安全性和完整性</w:t>
            </w:r>
            <w:r>
              <w:rPr>
                <w:rFonts w:hint="eastAsia" w:ascii="宋体" w:hAnsi="宋体" w:cs="宋体"/>
                <w:color w:val="auto"/>
                <w:szCs w:val="21"/>
              </w:rPr>
              <w:t>。</w:t>
            </w:r>
            <w:r>
              <w:rPr>
                <w:rFonts w:hint="eastAsia" w:ascii="宋体" w:hAnsi="宋体" w:cs="宋体"/>
                <w:color w:val="auto"/>
                <w:szCs w:val="21"/>
                <w:lang w:eastAsia="zh-Hans"/>
              </w:rPr>
              <w:t>）</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4</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安全日志分析服务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服务要求：要求在服务期内以现场服务的方式，采用专业日志分析工具和人工结合的手段对目标业务系统相关的安全日志进行</w:t>
            </w:r>
            <w:r>
              <w:rPr>
                <w:rFonts w:ascii="宋体" w:hAnsi="宋体" w:cs="宋体"/>
                <w:color w:val="auto"/>
                <w:szCs w:val="21"/>
                <w:highlight w:val="none"/>
                <w:lang w:eastAsia="zh-Hans"/>
              </w:rPr>
              <w:t>7*24</w:t>
            </w:r>
            <w:r>
              <w:rPr>
                <w:rFonts w:hint="eastAsia" w:ascii="宋体" w:hAnsi="宋体" w:cs="宋体"/>
                <w:color w:val="auto"/>
                <w:szCs w:val="21"/>
                <w:highlight w:val="none"/>
                <w:lang w:eastAsia="zh-Hans"/>
              </w:rPr>
              <w:t>小时审计和分析；</w:t>
            </w:r>
          </w:p>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lang w:eastAsia="zh-Hans"/>
              </w:rPr>
              <w:t>服务内容：采用专业日志分析工具和人工结合的综合审计方法进对现网防火墙、IPS、WAF等设备产生的安全日志进行收集，综合对这些日志进行关联分析，从多个维度对目标的运行状态进行分析，得出一段时间内目标系统及相关设备的安全运行状态。服务需提供日志分析工具（千兆电口≥6个，日志分析处理能力≥2000条/秒，支持网络设备、安全设备、数据库、操作系统、应用系统等各类资产的日志收集，支持Syslog、Syslog-ng 、SNMP Trap、文件、WMI、FTP、数据库等方式采集日志，支持根据设备类型，按日期展示日志的接入情况，包含不同级别日志数量统计，支持自定义审计类型配合不同的审计分析策略，支持与现网运维平台</w:t>
            </w:r>
            <w:r>
              <w:rPr>
                <w:rFonts w:hint="eastAsia" w:ascii="宋体" w:hAnsi="宋体" w:cs="宋体"/>
                <w:color w:val="auto"/>
                <w:szCs w:val="21"/>
                <w:highlight w:val="none"/>
              </w:rPr>
              <w:t>进行数据推送服务</w:t>
            </w:r>
            <w:r>
              <w:rPr>
                <w:rFonts w:hint="eastAsia" w:ascii="宋体" w:hAnsi="宋体" w:cs="宋体"/>
                <w:color w:val="auto"/>
                <w:szCs w:val="21"/>
                <w:highlight w:val="none"/>
                <w:lang w:eastAsia="zh-Hans"/>
              </w:rPr>
              <w:t>（需提供</w:t>
            </w:r>
            <w:r>
              <w:rPr>
                <w:rFonts w:hint="eastAsia" w:ascii="宋体" w:hAnsi="宋体" w:cs="宋体"/>
                <w:color w:val="auto"/>
                <w:szCs w:val="21"/>
                <w:highlight w:val="none"/>
              </w:rPr>
              <w:t>现网</w:t>
            </w:r>
            <w:r>
              <w:rPr>
                <w:rFonts w:hint="eastAsia" w:ascii="宋体" w:hAnsi="宋体" w:cs="宋体"/>
                <w:color w:val="auto"/>
                <w:szCs w:val="21"/>
                <w:highlight w:val="none"/>
                <w:lang w:eastAsia="zh-Hans"/>
              </w:rPr>
              <w:t>运维平台厂商</w:t>
            </w:r>
            <w:r>
              <w:rPr>
                <w:rFonts w:hint="eastAsia" w:ascii="宋体" w:hAnsi="宋体" w:cs="宋体"/>
                <w:color w:val="auto"/>
                <w:szCs w:val="21"/>
                <w:highlight w:val="none"/>
              </w:rPr>
              <w:t>API开放服务承诺</w:t>
            </w:r>
            <w:r>
              <w:rPr>
                <w:rFonts w:hint="eastAsia" w:ascii="宋体" w:hAnsi="宋体" w:cs="宋体"/>
                <w:color w:val="auto"/>
                <w:szCs w:val="21"/>
                <w:highlight w:val="none"/>
                <w:lang w:eastAsia="zh-Hans"/>
              </w:rPr>
              <w:t>）</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5</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数据库安全审计服务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服务要求：在服务期内以现场服务的方式，采用专业数据库安全审计工具和人工结合的手段对目标业务系统的数据库进行全面</w:t>
            </w:r>
            <w:r>
              <w:rPr>
                <w:rFonts w:ascii="宋体" w:hAnsi="宋体" w:cs="宋体"/>
                <w:color w:val="auto"/>
                <w:szCs w:val="21"/>
                <w:lang w:eastAsia="zh-Hans"/>
              </w:rPr>
              <w:t>7*24</w:t>
            </w:r>
            <w:r>
              <w:rPr>
                <w:rFonts w:hint="eastAsia" w:ascii="宋体" w:hAnsi="宋体" w:cs="宋体"/>
                <w:color w:val="auto"/>
                <w:szCs w:val="21"/>
                <w:lang w:eastAsia="zh-Hans"/>
              </w:rPr>
              <w:t>小时安全审计；</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lang w:eastAsia="zh-Hans"/>
              </w:rPr>
              <w:t>服务内容：采用专业日志分析工具和人工结合的综合审计方法，通过对访问数据库的行为、内容等进行采集、存储、分析，实现完全独立于数据库的审计功能，并生成合规报告，便于事故追根溯源，提高数据资产安全。服务需提供数据库安全分析工具（千兆电口≥6个， SQL处理能力≥20000条/秒、入库量≥10000条/秒、日志存储能力≥20亿条，支持国际主流数据库、国产数据库、非关系型数据库等，能够扫描网络中的开放的服务，自动发现网络中存在的数据库系统，能够自动或手动将这些服务进行安全防护，支持将扫描到的服务进行概要化图表展示和报表导出，支持SQL命令的细粒度审计和分析，并记录详细的用户行为信息，可以对网络中存在的SQL注入、缓冲区溢出、权限提升等漏洞攻击行为进行审计和告警</w:t>
            </w:r>
            <w:r>
              <w:rPr>
                <w:rFonts w:hint="eastAsia" w:ascii="宋体" w:hAnsi="宋体" w:cs="宋体"/>
                <w:color w:val="auto"/>
                <w:szCs w:val="21"/>
              </w:rPr>
              <w:t>。</w:t>
            </w:r>
            <w:r>
              <w:rPr>
                <w:rFonts w:hint="eastAsia" w:ascii="宋体" w:hAnsi="宋体" w:cs="宋体"/>
                <w:color w:val="auto"/>
                <w:szCs w:val="21"/>
                <w:lang w:eastAsia="zh-Hans"/>
              </w:rPr>
              <w:t>）</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6</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运维行为安全审计服务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服务要求：在服务期内以现场服务的方式，采用专业网络安全审计工具和人工结合的手段对目标业务系统的网络运维安全进行</w:t>
            </w:r>
            <w:r>
              <w:rPr>
                <w:rFonts w:ascii="宋体" w:hAnsi="宋体" w:cs="宋体"/>
                <w:color w:val="auto"/>
                <w:szCs w:val="21"/>
                <w:lang w:eastAsia="zh-Hans"/>
              </w:rPr>
              <w:t>7*24</w:t>
            </w:r>
            <w:r>
              <w:rPr>
                <w:rFonts w:hint="eastAsia" w:ascii="宋体" w:hAnsi="宋体" w:cs="宋体"/>
                <w:color w:val="auto"/>
                <w:szCs w:val="21"/>
                <w:lang w:eastAsia="zh-Hans"/>
              </w:rPr>
              <w:t>小时全面审计；</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lang w:eastAsia="zh-Hans"/>
              </w:rPr>
              <w:t>服务内容：采用专业网络运维行为审计工具和人工结合的综合审计方法，通过对目标业务系统进行账号集中管理、身份统一认证、资源按需授权、过程全面审计和控制，通过事前预防、事中控制和事后审计来全面超算中心目标系统的运维安全管理问题。服务需提供网络运维安全审计工具（最大字符连接≥100个，最大图型连接≥50个，支持通过动作流配置提供广泛的应用接入支持，无论被接入的资源如何设计登录动作，通过动作流配置即可实现单点登陆和审计接入，支持 unix 资源、windows 资源、网络设备资源、数据库资源、C/S 资源、B/S 资源， 支持一对一、一对多、多对多授权，如将单个资产授权多个用户，一个用户授予多个资产，用户组向资产组授权，支持监控正在运维的会话，信息包括运维用户、运维客户端地址、资源地址、协议、开始时间等，并可以实时阻断，支持运维审计自查询功能，用户可查看自身的运维审计历史</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7</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安全</w:t>
            </w:r>
            <w:r>
              <w:rPr>
                <w:rFonts w:hint="eastAsia" w:ascii="宋体" w:hAnsi="宋体" w:cs="宋体"/>
                <w:color w:val="auto"/>
                <w:szCs w:val="21"/>
                <w:lang w:eastAsia="zh-Hans"/>
              </w:rPr>
              <w:t>检测升级</w:t>
            </w:r>
            <w:r>
              <w:rPr>
                <w:rFonts w:hint="eastAsia" w:ascii="宋体" w:hAnsi="宋体" w:cs="宋体"/>
                <w:color w:val="auto"/>
                <w:szCs w:val="21"/>
              </w:rPr>
              <w:t>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服务要求：服务期内提供安全检测相关工具的升级服务，提升现网安全检测能力；</w:t>
            </w:r>
          </w:p>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服务内容：</w:t>
            </w:r>
            <w:r>
              <w:rPr>
                <w:rFonts w:hint="eastAsia" w:ascii="宋体" w:hAnsi="宋体" w:cs="宋体"/>
                <w:color w:val="auto"/>
                <w:szCs w:val="21"/>
              </w:rPr>
              <w:t>对现网的安全</w:t>
            </w:r>
            <w:r>
              <w:rPr>
                <w:rFonts w:hint="eastAsia" w:ascii="宋体" w:hAnsi="宋体" w:cs="宋体"/>
                <w:color w:val="auto"/>
                <w:szCs w:val="21"/>
                <w:lang w:eastAsia="zh-Hans"/>
              </w:rPr>
              <w:t>检测</w:t>
            </w:r>
            <w:r>
              <w:rPr>
                <w:rFonts w:hint="eastAsia" w:ascii="宋体" w:hAnsi="宋体" w:cs="宋体"/>
                <w:color w:val="auto"/>
                <w:szCs w:val="21"/>
              </w:rPr>
              <w:t>工具并发扫描数提供扩容升级服务，要求扩容2K</w:t>
            </w:r>
            <w:r>
              <w:rPr>
                <w:rFonts w:hint="eastAsia" w:ascii="宋体" w:hAnsi="宋体" w:cs="宋体"/>
                <w:color w:val="auto"/>
                <w:szCs w:val="21"/>
                <w:lang w:eastAsia="zh-Hans"/>
              </w:rPr>
              <w:t>扫描权限，提供厂商升级服务授权</w:t>
            </w:r>
            <w:r>
              <w:rPr>
                <w:rFonts w:hint="eastAsia" w:ascii="宋体" w:hAnsi="宋体" w:cs="宋体"/>
                <w:color w:val="auto"/>
                <w:szCs w:val="21"/>
              </w:rPr>
              <w:t>；</w:t>
            </w:r>
            <w:r>
              <w:rPr>
                <w:rFonts w:hint="eastAsia" w:ascii="宋体" w:hAnsi="宋体" w:cs="宋体"/>
                <w:color w:val="auto"/>
                <w:szCs w:val="21"/>
                <w:lang w:eastAsia="zh-Hans"/>
              </w:rPr>
              <w:t>对现有态势感知系统进行系统升级服务实现</w:t>
            </w:r>
            <w:r>
              <w:rPr>
                <w:rFonts w:hint="eastAsia" w:ascii="宋体" w:hAnsi="宋体" w:cs="宋体"/>
                <w:color w:val="auto"/>
                <w:szCs w:val="21"/>
              </w:rPr>
              <w:t>安全</w:t>
            </w:r>
            <w:r>
              <w:rPr>
                <w:rFonts w:hint="eastAsia" w:ascii="宋体" w:hAnsi="宋体" w:cs="宋体"/>
                <w:color w:val="auto"/>
                <w:szCs w:val="21"/>
                <w:lang w:eastAsia="zh-Hans"/>
              </w:rPr>
              <w:t>检测联动能力，提供厂商升级服务授权；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8</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攻防演练服务</w:t>
            </w:r>
          </w:p>
        </w:tc>
        <w:tc>
          <w:tcPr>
            <w:tcW w:w="3851" w:type="pct"/>
            <w:noWrap w:val="0"/>
            <w:vAlign w:val="top"/>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服务要求：要求服务期内</w:t>
            </w:r>
            <w:r>
              <w:rPr>
                <w:rFonts w:hint="eastAsia" w:ascii="宋体" w:hAnsi="宋体" w:cs="宋体"/>
                <w:color w:val="auto"/>
                <w:szCs w:val="21"/>
              </w:rPr>
              <w:t>依托专业的安全服务厂商团队</w:t>
            </w:r>
            <w:r>
              <w:rPr>
                <w:rFonts w:hint="eastAsia" w:ascii="宋体" w:hAnsi="宋体" w:cs="宋体"/>
                <w:color w:val="auto"/>
                <w:szCs w:val="21"/>
                <w:lang w:eastAsia="zh-Hans"/>
              </w:rPr>
              <w:t>提供1年1次现场攻防演练服务；</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lang w:eastAsia="zh-Hans"/>
              </w:rPr>
              <w:t>服务内容：充分利用现有安全检测与防御手段，结合安全监测与分析经验，协助实时检测与分析攻击行为，快速响应处置，抑制攻击事件，现场服务人员不少于 5 人；服务商应为本项目组配置具有丰富经验的实施团队。其中项目经理至少具备：项目经理需具有CISP、CISSP、PMP、ISO27001 Foundation、Security+、CISAW、等保测评师、监理工程师等资质中的至少</w:t>
            </w:r>
            <w:r>
              <w:rPr>
                <w:rFonts w:hint="eastAsia" w:ascii="宋体" w:hAnsi="宋体" w:cs="宋体"/>
                <w:color w:val="auto"/>
                <w:szCs w:val="21"/>
              </w:rPr>
              <w:t>3</w:t>
            </w:r>
            <w:r>
              <w:rPr>
                <w:rFonts w:hint="eastAsia" w:ascii="宋体" w:hAnsi="宋体" w:cs="宋体"/>
                <w:color w:val="auto"/>
                <w:szCs w:val="21"/>
                <w:lang w:eastAsia="zh-Hans"/>
              </w:rPr>
              <w:t>个，需提供证书复印件；</w:t>
            </w:r>
            <w:r>
              <w:rPr>
                <w:rFonts w:hint="eastAsia" w:ascii="宋体" w:hAnsi="宋体" w:cs="宋体"/>
                <w:color w:val="auto"/>
                <w:szCs w:val="21"/>
              </w:rPr>
              <w:t>服务商实施团队中至少2人具备CISP认证</w:t>
            </w:r>
            <w:r>
              <w:rPr>
                <w:rFonts w:hint="eastAsia" w:ascii="宋体" w:hAnsi="宋体" w:cs="宋体"/>
                <w:color w:val="auto"/>
                <w:szCs w:val="21"/>
                <w:lang w:eastAsia="zh-Hans"/>
              </w:rPr>
              <w:t>，需提供证书复印件；</w:t>
            </w:r>
            <w:r>
              <w:rPr>
                <w:rFonts w:hint="eastAsia" w:ascii="宋体" w:hAnsi="宋体" w:cs="宋体"/>
                <w:color w:val="auto"/>
                <w:szCs w:val="21"/>
              </w:rPr>
              <w:t>至少1人具备信息安全等级测评师认证</w:t>
            </w:r>
            <w:r>
              <w:rPr>
                <w:rFonts w:hint="eastAsia" w:ascii="宋体" w:hAnsi="宋体" w:cs="宋体"/>
                <w:color w:val="auto"/>
                <w:szCs w:val="21"/>
                <w:lang w:eastAsia="zh-Hans"/>
              </w:rPr>
              <w:t>，需提供证书复印件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9</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等保测评服务</w:t>
            </w:r>
          </w:p>
        </w:tc>
        <w:tc>
          <w:tcPr>
            <w:tcW w:w="3851" w:type="pct"/>
            <w:noWrap w:val="0"/>
            <w:vAlign w:val="top"/>
          </w:tcPr>
          <w:p>
            <w:pPr>
              <w:autoSpaceDE w:val="0"/>
              <w:autoSpaceDN w:val="0"/>
              <w:adjustRightInd w:val="0"/>
              <w:snapToGrid w:val="0"/>
              <w:jc w:val="left"/>
              <w:rPr>
                <w:rFonts w:hint="eastAsia" w:ascii="宋体" w:hAnsi="宋体" w:cs="宋体"/>
                <w:color w:val="auto"/>
                <w:lang w:eastAsia="zh-Hans"/>
              </w:rPr>
            </w:pPr>
            <w:r>
              <w:rPr>
                <w:rFonts w:hint="eastAsia"/>
                <w:color w:val="auto"/>
                <w:lang w:eastAsia="zh-Hans"/>
              </w:rPr>
              <w:t>服务要求</w:t>
            </w:r>
            <w:r>
              <w:rPr>
                <w:rFonts w:hint="eastAsia" w:ascii="宋体" w:hAnsi="宋体" w:cs="宋体"/>
                <w:color w:val="auto"/>
                <w:lang w:eastAsia="zh-Hans"/>
              </w:rPr>
              <w:t>：要求服务商在服务期内依托具备国家信息系统安全等级保护测评认证资质的安全测评机构</w:t>
            </w:r>
            <w:r>
              <w:rPr>
                <w:rFonts w:hint="eastAsia" w:ascii="宋体" w:hAnsi="宋体" w:cs="宋体"/>
                <w:color w:val="auto"/>
              </w:rPr>
              <w:t>（需要提供</w:t>
            </w:r>
            <w:r>
              <w:rPr>
                <w:rFonts w:hint="eastAsia" w:ascii="宋体" w:hAnsi="宋体" w:cs="宋体"/>
                <w:color w:val="auto"/>
                <w:lang w:eastAsia="zh-Hans"/>
              </w:rPr>
              <w:t>安全测评机构</w:t>
            </w:r>
            <w:r>
              <w:rPr>
                <w:rFonts w:hint="eastAsia" w:ascii="宋体" w:hAnsi="宋体" w:cs="宋体"/>
                <w:color w:val="auto"/>
              </w:rPr>
              <w:t>的服务授权函并加盖公章）</w:t>
            </w:r>
            <w:r>
              <w:rPr>
                <w:rFonts w:hint="eastAsia" w:ascii="宋体" w:hAnsi="宋体" w:cs="宋体"/>
                <w:color w:val="auto"/>
                <w:lang w:eastAsia="zh-Hans"/>
              </w:rPr>
              <w:t>，根据《GB/T 22239—2019 网络安全等级保护基本要求》（若有新发布的等级保护相关标准，按照新标准展开测评）完成至少2个三级，3个二级信息系统等级保护测评服务，并完成相关系统的测评、整改及定级、备案工作；</w:t>
            </w:r>
          </w:p>
          <w:p>
            <w:pPr>
              <w:autoSpaceDE w:val="0"/>
              <w:autoSpaceDN w:val="0"/>
              <w:adjustRightInd w:val="0"/>
              <w:snapToGrid w:val="0"/>
              <w:jc w:val="left"/>
              <w:rPr>
                <w:rFonts w:hint="eastAsia" w:ascii="宋体" w:hAnsi="宋体" w:cs="宋体"/>
                <w:color w:val="auto"/>
                <w:lang w:eastAsia="zh-Hans"/>
              </w:rPr>
            </w:pPr>
            <w:r>
              <w:rPr>
                <w:rFonts w:hint="eastAsia" w:ascii="宋体" w:hAnsi="宋体" w:cs="宋体"/>
                <w:color w:val="auto"/>
                <w:lang w:eastAsia="zh-Hans"/>
              </w:rPr>
              <w:t>服务内容：（1）安全技术测评：包括安全物理环境、安全通信网络、安全区域边界、安全计算环境、安全管理中心等五个方面的安全测评；（2）安全管理测评：安全管理制度、安全管理制机构、安全管理人员、安全建设管理和安全运维管理等五个方面的安全测评；（3）系统整体测评：安全控制点间、层面间、区域间、系统结构安全等四个方面的安全测评；</w:t>
            </w:r>
          </w:p>
          <w:p>
            <w:pPr>
              <w:autoSpaceDE w:val="0"/>
              <w:autoSpaceDN w:val="0"/>
              <w:adjustRightInd w:val="0"/>
              <w:snapToGrid w:val="0"/>
              <w:jc w:val="left"/>
              <w:rPr>
                <w:rFonts w:hint="eastAsia" w:ascii="宋体" w:hAnsi="宋体" w:cs="宋体"/>
                <w:color w:val="auto"/>
                <w:lang w:eastAsia="zh-Hans"/>
              </w:rPr>
            </w:pPr>
            <w:r>
              <w:rPr>
                <w:rFonts w:hint="eastAsia" w:ascii="宋体" w:hAnsi="宋体" w:cs="宋体"/>
                <w:color w:val="auto"/>
                <w:lang w:eastAsia="zh-Hans"/>
              </w:rPr>
              <w:t xml:space="preserve">测评工作实施时，必须保证现有系统 24 小时的不间断、稳定、安全运行，在此要求下完成全部安全等级测评工作； </w:t>
            </w:r>
          </w:p>
          <w:p>
            <w:pPr>
              <w:autoSpaceDE w:val="0"/>
              <w:autoSpaceDN w:val="0"/>
              <w:adjustRightInd w:val="0"/>
              <w:snapToGrid w:val="0"/>
              <w:jc w:val="left"/>
              <w:rPr>
                <w:rFonts w:hint="eastAsia"/>
                <w:color w:val="auto"/>
                <w:lang w:eastAsia="zh-Hans"/>
              </w:rPr>
            </w:pPr>
            <w:r>
              <w:rPr>
                <w:rFonts w:hint="eastAsia"/>
                <w:color w:val="auto"/>
                <w:lang w:eastAsia="zh-Hans"/>
              </w:rPr>
              <w:t>开展测评工作时间，应尽量避开业务高峰期。工具测试期间，应安排在夜间或法定节假日期间，制定切实可行的工具测试方案。对出现意外宕机等应提供应急保障方案，确保关键环节能正常工作；</w:t>
            </w:r>
          </w:p>
          <w:p>
            <w:pPr>
              <w:autoSpaceDE w:val="0"/>
              <w:autoSpaceDN w:val="0"/>
              <w:adjustRightInd w:val="0"/>
              <w:snapToGrid w:val="0"/>
              <w:jc w:val="left"/>
              <w:rPr>
                <w:rFonts w:hint="eastAsia"/>
                <w:color w:val="auto"/>
              </w:rPr>
            </w:pPr>
            <w:r>
              <w:rPr>
                <w:rFonts w:hint="eastAsia"/>
                <w:color w:val="auto"/>
              </w:rPr>
              <w:t>测评人员</w:t>
            </w:r>
            <w:r>
              <w:rPr>
                <w:rFonts w:hint="eastAsia"/>
                <w:color w:val="auto"/>
                <w:lang w:eastAsia="zh-Hans"/>
              </w:rPr>
              <w:t>应具有信息安全等级保护测评师证书</w:t>
            </w:r>
            <w:r>
              <w:rPr>
                <w:rFonts w:hint="eastAsia"/>
                <w:color w:val="auto"/>
              </w:rPr>
              <w:t>，提供复印件并加盖公章；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10</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等保差距分析服务</w:t>
            </w:r>
          </w:p>
        </w:tc>
        <w:tc>
          <w:tcPr>
            <w:tcW w:w="3851" w:type="pct"/>
            <w:noWrap w:val="0"/>
            <w:vAlign w:val="top"/>
          </w:tcPr>
          <w:p>
            <w:pPr>
              <w:autoSpaceDE w:val="0"/>
              <w:autoSpaceDN w:val="0"/>
              <w:adjustRightInd w:val="0"/>
              <w:snapToGrid w:val="0"/>
              <w:jc w:val="left"/>
              <w:rPr>
                <w:rFonts w:hint="eastAsia"/>
                <w:color w:val="auto"/>
              </w:rPr>
            </w:pPr>
            <w:r>
              <w:rPr>
                <w:rFonts w:hint="eastAsia"/>
                <w:color w:val="auto"/>
              </w:rPr>
              <w:t>服务要求：要求服务商</w:t>
            </w:r>
            <w:r>
              <w:rPr>
                <w:rFonts w:hint="eastAsia"/>
                <w:color w:val="auto"/>
                <w:lang w:eastAsia="zh-Hans"/>
              </w:rPr>
              <w:t>在完成等保备案前</w:t>
            </w:r>
            <w:r>
              <w:rPr>
                <w:rFonts w:hint="eastAsia"/>
                <w:color w:val="auto"/>
              </w:rPr>
              <w:t>提供现场技术服务；</w:t>
            </w:r>
          </w:p>
          <w:p>
            <w:pPr>
              <w:autoSpaceDE w:val="0"/>
              <w:autoSpaceDN w:val="0"/>
              <w:adjustRightInd w:val="0"/>
              <w:snapToGrid w:val="0"/>
              <w:jc w:val="left"/>
              <w:rPr>
                <w:rFonts w:hint="eastAsia"/>
                <w:color w:val="auto"/>
              </w:rPr>
            </w:pPr>
            <w:r>
              <w:rPr>
                <w:rFonts w:hint="eastAsia"/>
                <w:color w:val="auto"/>
              </w:rPr>
              <w:t>服务</w:t>
            </w:r>
            <w:r>
              <w:rPr>
                <w:rFonts w:hint="eastAsia"/>
                <w:color w:val="auto"/>
                <w:lang w:eastAsia="zh-Hans"/>
              </w:rPr>
              <w:t>内容</w:t>
            </w:r>
            <w:r>
              <w:rPr>
                <w:rFonts w:hint="eastAsia"/>
                <w:color w:val="auto"/>
              </w:rPr>
              <w:t>：依照《信息安全等级保护安全建设整改工作指导意见》（公信安[2009]1429 号），严格遵循《信息安全等级保护安全建设整改工作指南》各项要求，在系统测评工作的基础上，严格按照GB/T 20984、GB/T 31509、公安部等级保护标准对平台相关的网站和业务系统，进行模拟黑客的安全渗透测试和差距分析，对系统存在的安全漏洞进行准确查找，完成后提供详细的渗透测试报告，并在报告中给出漏洞修复建议；渗透测试指标范围需要包括用户账号测试、通用型漏洞测试、S2专项等特定型漏洞测试、逻辑漏洞测试、中间件getshell漏洞测试，基于渗透测试结果输出差距分析评估报告；等保差距分析服务完成后要求服务方向用户方输出《系统渗透测试报告》、《等保差距分析评估报告》，报告必须为人工编写；</w:t>
            </w:r>
          </w:p>
          <w:p>
            <w:pPr>
              <w:pStyle w:val="7"/>
              <w:rPr>
                <w:rFonts w:hint="eastAsia"/>
                <w:color w:val="auto"/>
              </w:rPr>
            </w:pPr>
            <w:r>
              <w:rPr>
                <w:rFonts w:hint="eastAsia"/>
                <w:color w:val="auto"/>
                <w:sz w:val="21"/>
                <w:lang w:eastAsia="zh-Hans"/>
              </w:rPr>
              <w:t>渗透测试人员应具有网络安全等级测评师以及国家注册信息安全专业人员证书（CISP）证书</w:t>
            </w:r>
            <w:r>
              <w:rPr>
                <w:rFonts w:hint="eastAsia"/>
                <w:color w:val="auto"/>
                <w:sz w:val="21"/>
              </w:rPr>
              <w:t>，</w:t>
            </w:r>
            <w:r>
              <w:rPr>
                <w:rFonts w:hint="eastAsia"/>
                <w:color w:val="auto"/>
                <w:sz w:val="21"/>
                <w:lang w:eastAsia="zh-Hans"/>
              </w:rPr>
              <w:t>提供复印件并加盖公章</w:t>
            </w:r>
            <w:r>
              <w:rPr>
                <w:rFonts w:hint="eastAsia"/>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11</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等保安全整改服务</w:t>
            </w:r>
          </w:p>
        </w:tc>
        <w:tc>
          <w:tcPr>
            <w:tcW w:w="3851" w:type="pct"/>
            <w:noWrap w:val="0"/>
            <w:vAlign w:val="top"/>
          </w:tcPr>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rPr>
              <w:t>服务要求：要求提供现场技术服务，基于《系统渗透测试报告》、《等保差距分析评估报告》对存在安全漏洞进行修复、配置隐患进行优化</w:t>
            </w:r>
            <w:r>
              <w:rPr>
                <w:rFonts w:hint="eastAsia" w:ascii="宋体" w:hAnsi="宋体" w:cs="宋体"/>
                <w:color w:val="auto"/>
                <w:szCs w:val="21"/>
                <w:lang w:eastAsia="zh-Hans"/>
              </w:rPr>
              <w:t>；</w:t>
            </w:r>
          </w:p>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rPr>
              <w:t>服务内容：加固内容包括但不限于系统补丁、防火墙、防病毒、危险服务、共享、自动播放、密码安全。在修复漏洞后，对漏洞修复情况进行复测；复测工作需要在甲方规定的时间内完成；安全加固服务完成后要求服务方输出《安全加固报告》（含加固前后漏洞对比）、《加固前漏洞扫描报告》、《加固后漏洞扫描报告》以及《安全加固应急及回退方案》，报告必须为人工编写</w:t>
            </w:r>
            <w:r>
              <w:rPr>
                <w:rFonts w:hint="eastAsia" w:ascii="宋体" w:hAnsi="宋体" w:cs="宋体"/>
                <w:color w:val="auto"/>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12</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信息安全管理制度服务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服务要求：安全管理制度服务，以ISO27001为基准，包括现有安全管理制度收集、进行差距分析、构架安全制度框架、编写安全管理制度、安全制度改进等一系列服务；</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lang w:eastAsia="zh-Hans"/>
              </w:rPr>
              <w:t>服务内容：</w:t>
            </w:r>
            <w:r>
              <w:rPr>
                <w:rFonts w:hint="eastAsia" w:ascii="宋体" w:hAnsi="宋体" w:cs="宋体"/>
                <w:color w:val="auto"/>
                <w:szCs w:val="21"/>
              </w:rPr>
              <w:t>依托专业的安全服务厂商提供</w:t>
            </w:r>
            <w:r>
              <w:rPr>
                <w:rFonts w:hint="eastAsia" w:ascii="宋体" w:hAnsi="宋体" w:cs="宋体"/>
                <w:color w:val="auto"/>
                <w:szCs w:val="21"/>
                <w:lang w:eastAsia="zh-Hans"/>
              </w:rPr>
              <w:t>本服务为超算中心梳理现有安全制度，找出差距点，并修订或编写必须的信息安全管理制度，提升超算中心的安全管理水平</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13</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计算专区安全提升服务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服务要求：要求在服务期内</w:t>
            </w:r>
            <w:r>
              <w:rPr>
                <w:rFonts w:hint="eastAsia" w:ascii="宋体" w:hAnsi="宋体" w:cs="宋体"/>
                <w:color w:val="auto"/>
                <w:szCs w:val="21"/>
              </w:rPr>
              <w:t>配合超算中心</w:t>
            </w:r>
            <w:r>
              <w:rPr>
                <w:rFonts w:hint="eastAsia" w:ascii="宋体" w:hAnsi="宋体" w:cs="宋体"/>
                <w:color w:val="auto"/>
                <w:szCs w:val="21"/>
                <w:lang w:eastAsia="zh-Hans"/>
              </w:rPr>
              <w:t>基于超算当前用户业务、数据的需要，对超算中心计算专区进行安全提升服务；</w:t>
            </w:r>
          </w:p>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服务内容：对现有的超算计算集群基于业务规划、实际需求及安全提升的需要，进行超算计算专区的改造服务，服务中涉及超算高速网络</w:t>
            </w:r>
            <w:r>
              <w:rPr>
                <w:rFonts w:hint="eastAsia" w:ascii="宋体" w:hAnsi="宋体" w:cs="宋体"/>
                <w:color w:val="auto"/>
                <w:szCs w:val="21"/>
              </w:rPr>
              <w:t>交换机</w:t>
            </w:r>
            <w:r>
              <w:rPr>
                <w:rFonts w:hint="eastAsia" w:ascii="宋体" w:hAnsi="宋体" w:cs="宋体"/>
                <w:color w:val="auto"/>
                <w:szCs w:val="21"/>
                <w:lang w:eastAsia="zh-Hans"/>
              </w:rPr>
              <w:t>（具备≥40个200Gb/s双向带宽HDR网络端口、</w:t>
            </w:r>
            <w:r>
              <w:rPr>
                <w:rFonts w:hint="eastAsia" w:ascii="宋体" w:hAnsi="宋体" w:cs="宋体"/>
                <w:color w:val="auto"/>
                <w:szCs w:val="21"/>
              </w:rPr>
              <w:t>≤</w:t>
            </w:r>
            <w:r>
              <w:rPr>
                <w:rFonts w:hint="eastAsia" w:ascii="宋体" w:hAnsi="宋体" w:cs="宋体"/>
                <w:color w:val="auto"/>
                <w:szCs w:val="21"/>
                <w:lang w:eastAsia="zh-Hans"/>
              </w:rPr>
              <w:t>90ns的延时、≥16Tb/s聚合带宽、</w:t>
            </w:r>
            <w:r>
              <w:rPr>
                <w:rFonts w:hint="eastAsia" w:ascii="宋体" w:hAnsi="宋体" w:cs="宋体"/>
                <w:color w:val="auto"/>
                <w:szCs w:val="21"/>
              </w:rPr>
              <w:t>辅助工具连接的线缆等</w:t>
            </w:r>
            <w:r>
              <w:rPr>
                <w:rFonts w:hint="eastAsia" w:ascii="宋体" w:hAnsi="宋体" w:cs="宋体"/>
                <w:color w:val="auto"/>
                <w:szCs w:val="21"/>
                <w:lang w:eastAsia="zh-Hans"/>
              </w:rPr>
              <w:t>）</w:t>
            </w:r>
            <w:r>
              <w:rPr>
                <w:rFonts w:hint="eastAsia" w:ascii="宋体" w:hAnsi="宋体" w:cs="宋体"/>
                <w:color w:val="auto"/>
                <w:szCs w:val="21"/>
              </w:rPr>
              <w:t>的接入服务</w:t>
            </w:r>
            <w:r>
              <w:rPr>
                <w:rFonts w:hint="eastAsia" w:ascii="宋体" w:hAnsi="宋体" w:cs="宋体"/>
                <w:color w:val="auto"/>
                <w:szCs w:val="21"/>
                <w:lang w:eastAsia="zh-Hans"/>
              </w:rPr>
              <w:t>，以满足实际改造需求</w:t>
            </w:r>
            <w:r>
              <w:rPr>
                <w:rFonts w:hint="eastAsia" w:ascii="宋体" w:hAnsi="宋体" w:cs="宋体"/>
                <w:color w:val="auto"/>
                <w:szCs w:val="21"/>
              </w:rPr>
              <w:t>为准</w:t>
            </w:r>
            <w:r>
              <w:rPr>
                <w:rFonts w:hint="eastAsia" w:ascii="宋体" w:hAnsi="宋体" w:cs="宋体"/>
                <w:color w:val="auto"/>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14</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安全运维可视化服务</w:t>
            </w:r>
          </w:p>
        </w:tc>
        <w:tc>
          <w:tcPr>
            <w:tcW w:w="3851" w:type="pct"/>
            <w:noWrap w:val="0"/>
            <w:vAlign w:val="top"/>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w:t>
            </w:r>
            <w:r>
              <w:rPr>
                <w:rFonts w:hint="eastAsia" w:ascii="宋体" w:hAnsi="宋体" w:cs="宋体"/>
                <w:color w:val="auto"/>
                <w:szCs w:val="21"/>
              </w:rPr>
              <w:t>在</w:t>
            </w:r>
            <w:r>
              <w:rPr>
                <w:rFonts w:hint="eastAsia" w:ascii="宋体" w:hAnsi="宋体" w:cs="宋体"/>
                <w:color w:val="auto"/>
                <w:szCs w:val="21"/>
                <w:lang w:eastAsia="zh-Hans"/>
              </w:rPr>
              <w:t>服务期</w:t>
            </w:r>
            <w:r>
              <w:rPr>
                <w:rFonts w:hint="eastAsia" w:ascii="宋体" w:hAnsi="宋体" w:cs="宋体"/>
                <w:color w:val="auto"/>
                <w:szCs w:val="21"/>
              </w:rPr>
              <w:t>内提供</w:t>
            </w:r>
            <w:r>
              <w:rPr>
                <w:rFonts w:hint="eastAsia" w:ascii="宋体" w:hAnsi="宋体" w:cs="宋体"/>
                <w:color w:val="auto"/>
                <w:szCs w:val="21"/>
                <w:lang w:eastAsia="zh-Hans"/>
              </w:rPr>
              <w:t>对现网安全数据、结果、态势</w:t>
            </w:r>
            <w:r>
              <w:rPr>
                <w:rFonts w:hint="eastAsia" w:ascii="宋体" w:hAnsi="宋体" w:cs="宋体"/>
                <w:color w:val="auto"/>
                <w:szCs w:val="21"/>
              </w:rPr>
              <w:t>的</w:t>
            </w:r>
            <w:r>
              <w:rPr>
                <w:rFonts w:hint="eastAsia" w:ascii="宋体" w:hAnsi="宋体" w:cs="宋体"/>
                <w:color w:val="auto"/>
                <w:szCs w:val="21"/>
                <w:lang w:eastAsia="zh-Hans"/>
              </w:rPr>
              <w:t>可视化服务；</w:t>
            </w:r>
          </w:p>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内容：提供2套7*24小时实时安全运维可视化及展示的能力，可视化呈现在甲方指定物理位置，尺寸≥75寸，支持多种音效模式，支持HDMI服务输入，USB输入服务，支持USB流媒体播放，支持H.265/H.264/MPEG-4等视频解码，支持MP3/AAC/AC3/Dolby/DTS等音频解码，支持JPG,PNG,BMP，支持WiFi，2.4GHz/5GHz（802.11a/b/g/n/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15</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rPr>
              <w:t>安全驻场服务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lang w:eastAsia="zh-Hans"/>
              </w:rPr>
            </w:pPr>
            <w:r>
              <w:rPr>
                <w:rFonts w:hint="eastAsia" w:ascii="宋体" w:hAnsi="宋体" w:cs="宋体"/>
                <w:color w:val="auto"/>
                <w:szCs w:val="21"/>
                <w:lang w:eastAsia="zh-Hans"/>
              </w:rPr>
              <w:t>服务要求：服务期内依托相关安全工具和平台提供三年5*8的现场驻场安全服务，常驻现场人员≥2人；</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lang w:eastAsia="zh-Hans"/>
              </w:rPr>
              <w:t>服务内容：驻场人员现场进行安全巡检，通过人员访谈、现场勘查、文档查看等手段了解管理弱点；对网络、安全、业务等如路由器、交换机、防火墙、服务器、数据库、存储、中间件等的运行状况、资源利用情况、网络连接情况等进行检查，检查系统健康状态，同时利用工具扫描、人工审计、基线检查、配置分析等方式对信息系统的技术脆弱性进行评估，并给出脆弱性评估报告。对于发现的漏洞及可能造成的风险给出详细的、按危害等级排序的总结报告（系统性安全巡检1次/月；基础安全巡检1次/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utoSpaceDE w:val="0"/>
              <w:autoSpaceDN w:val="0"/>
              <w:adjustRightInd w:val="0"/>
              <w:snapToGrid w:val="0"/>
              <w:jc w:val="center"/>
              <w:rPr>
                <w:rFonts w:hint="eastAsia" w:ascii="宋体" w:hAnsi="宋体" w:cs="宋体"/>
                <w:color w:val="auto"/>
                <w:szCs w:val="21"/>
              </w:rPr>
            </w:pPr>
            <w:r>
              <w:rPr>
                <w:rFonts w:hint="eastAsia" w:ascii="宋体" w:hAnsi="宋体" w:cs="宋体"/>
                <w:color w:val="auto"/>
                <w:szCs w:val="21"/>
              </w:rPr>
              <w:t>16</w:t>
            </w:r>
          </w:p>
        </w:tc>
        <w:tc>
          <w:tcPr>
            <w:tcW w:w="754" w:type="pct"/>
            <w:noWrap w:val="0"/>
            <w:vAlign w:val="center"/>
          </w:tcPr>
          <w:p>
            <w:pPr>
              <w:autoSpaceDE w:val="0"/>
              <w:autoSpaceDN w:val="0"/>
              <w:adjustRightInd w:val="0"/>
              <w:snapToGrid w:val="0"/>
              <w:jc w:val="center"/>
              <w:rPr>
                <w:rFonts w:hint="eastAsia" w:ascii="宋体" w:hAnsi="宋体" w:cs="宋体"/>
                <w:color w:val="auto"/>
                <w:szCs w:val="21"/>
                <w:lang w:eastAsia="zh-Hans"/>
              </w:rPr>
            </w:pPr>
            <w:r>
              <w:rPr>
                <w:rFonts w:hint="eastAsia" w:ascii="宋体" w:hAnsi="宋体" w:cs="宋体"/>
                <w:color w:val="auto"/>
                <w:szCs w:val="21"/>
                <w:lang w:eastAsia="zh-Hans"/>
              </w:rPr>
              <w:t>定制化本地培训服务</w:t>
            </w:r>
          </w:p>
        </w:tc>
        <w:tc>
          <w:tcPr>
            <w:tcW w:w="3851" w:type="pct"/>
            <w:noWrap w:val="0"/>
            <w:vAlign w:val="center"/>
          </w:tcPr>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rPr>
              <w:t>服务要求：在服务期内提供原厂商专业讲师本地培训服务及日常攻防实验学习平台服务，要求服务期内本地培训服务每年不少于2次；</w:t>
            </w:r>
          </w:p>
          <w:p>
            <w:pPr>
              <w:autoSpaceDE w:val="0"/>
              <w:autoSpaceDN w:val="0"/>
              <w:adjustRightInd w:val="0"/>
              <w:snapToGrid w:val="0"/>
              <w:jc w:val="left"/>
              <w:rPr>
                <w:rFonts w:hint="eastAsia" w:ascii="宋体" w:hAnsi="宋体" w:cs="宋体"/>
                <w:color w:val="auto"/>
                <w:szCs w:val="21"/>
              </w:rPr>
            </w:pPr>
            <w:r>
              <w:rPr>
                <w:rFonts w:hint="eastAsia" w:ascii="宋体" w:hAnsi="宋体" w:cs="宋体"/>
                <w:color w:val="auto"/>
                <w:szCs w:val="21"/>
              </w:rPr>
              <w:t>服务内容：（1）培训课程应包括但不限于网络安全架构设计和网络安全设备的部署；WINDOWS、LINUX等常见操作系统安全、SQL-SERVER、ORACL等常见数据库安全、常见应用系统安全、常见网络设备安全；网络攻击及系统安全检查和防范加固；恶意代码检查和清除；WEB应用威胁及安全防护技术；安全事件应急响应和入侵检查；网络攻击入侵预警、监测、防护、恢复技术措施；安全域和边界整合、边界访问控制措施；虚拟化与云计算安全技术；信息安全风险评估及信息安全规划；其他定制化的安全培训等；全方位提高网络管理人员安全运维技术与管理能力，培训内容完善、合理、科学，讲师具有培训证书；（2）攻防实验学习平台服务支持满足20人同时在线实时学习攻防知识，开启、关闭、还原实验环境，下载实验工具，完成实时测验，支持对靶场机资源调度和管理，对虚拟出的多个仿真业务场景进行添加、删除、开启、关闭等支持在线注册实时学习各类攻防课程技术，配套实验教学的攻防实战工具资源库，可用于各类安全攻防测试，并在服务期内人员通过测试获得相应的攻防认证证书。</w:t>
            </w:r>
          </w:p>
        </w:tc>
      </w:tr>
    </w:tbl>
    <w:p>
      <w:pPr>
        <w:rPr>
          <w:rFonts w:hint="eastAsia"/>
          <w:color w:val="auto"/>
          <w:lang w:val="en-US" w:eastAsia="zh-Hans"/>
        </w:rPr>
      </w:pPr>
    </w:p>
    <w:p>
      <w:pPr>
        <w:spacing w:line="360" w:lineRule="auto"/>
        <w:rPr>
          <w:b/>
          <w:color w:val="auto"/>
          <w:sz w:val="24"/>
        </w:rPr>
      </w:pPr>
      <w:r>
        <w:rPr>
          <w:rFonts w:hint="eastAsia"/>
          <w:b/>
          <w:color w:val="auto"/>
          <w:sz w:val="24"/>
        </w:rPr>
        <w:t>四、服务约定：</w:t>
      </w:r>
    </w:p>
    <w:p>
      <w:pPr>
        <w:numPr>
          <w:ilvl w:val="0"/>
          <w:numId w:val="3"/>
        </w:numPr>
        <w:spacing w:line="360" w:lineRule="auto"/>
        <w:rPr>
          <w:color w:val="auto"/>
          <w:sz w:val="24"/>
        </w:rPr>
      </w:pPr>
      <w:r>
        <w:rPr>
          <w:rFonts w:hint="eastAsia"/>
          <w:b/>
          <w:bCs/>
          <w:color w:val="auto"/>
          <w:sz w:val="24"/>
        </w:rPr>
        <w:t>服务完成时间</w:t>
      </w:r>
      <w:r>
        <w:rPr>
          <w:rFonts w:hint="eastAsia"/>
          <w:color w:val="auto"/>
          <w:sz w:val="24"/>
        </w:rPr>
        <w:t>：</w:t>
      </w:r>
    </w:p>
    <w:p>
      <w:pPr>
        <w:numPr>
          <w:ilvl w:val="0"/>
          <w:numId w:val="0"/>
        </w:numPr>
        <w:spacing w:line="360" w:lineRule="auto"/>
        <w:ind w:left="845" w:leftChars="0" w:firstLine="420" w:firstLineChars="0"/>
        <w:rPr>
          <w:rFonts w:hint="eastAsia" w:ascii="宋体" w:hAnsi="宋体" w:cs="宋体"/>
          <w:bCs/>
          <w:color w:val="auto"/>
          <w:sz w:val="24"/>
        </w:rPr>
      </w:pPr>
      <w:r>
        <w:rPr>
          <w:rFonts w:hint="eastAsia"/>
          <w:b/>
          <w:bCs/>
          <w:color w:val="auto"/>
          <w:sz w:val="24"/>
          <w:lang w:val="en-US" w:eastAsia="zh-CN"/>
        </w:rPr>
        <w:t>等保测评分析服务：</w:t>
      </w:r>
      <w:r>
        <w:rPr>
          <w:rFonts w:hint="eastAsia" w:ascii="宋体" w:hAnsi="宋体" w:cs="宋体"/>
          <w:bCs/>
          <w:color w:val="auto"/>
          <w:sz w:val="24"/>
          <w:u w:val="single"/>
        </w:rPr>
        <w:t>自合同签订之日起</w:t>
      </w:r>
      <w:r>
        <w:rPr>
          <w:rFonts w:hint="eastAsia" w:ascii="宋体" w:hAnsi="宋体" w:cs="宋体"/>
          <w:bCs/>
          <w:color w:val="auto"/>
          <w:sz w:val="24"/>
          <w:u w:val="single"/>
          <w:lang w:val="en-US" w:eastAsia="zh-CN"/>
        </w:rPr>
        <w:t>30</w:t>
      </w:r>
      <w:r>
        <w:rPr>
          <w:rFonts w:hint="eastAsia" w:ascii="宋体" w:hAnsi="宋体" w:cs="宋体"/>
          <w:bCs/>
          <w:color w:val="auto"/>
          <w:sz w:val="24"/>
          <w:u w:val="single"/>
        </w:rPr>
        <w:t>日历天</w:t>
      </w:r>
      <w:r>
        <w:rPr>
          <w:rFonts w:hint="eastAsia" w:ascii="宋体" w:hAnsi="宋体" w:cs="宋体"/>
          <w:bCs/>
          <w:color w:val="auto"/>
          <w:sz w:val="24"/>
          <w:u w:val="single"/>
          <w:lang w:val="en-US" w:eastAsia="zh-CN"/>
        </w:rPr>
        <w:t>内完成</w:t>
      </w:r>
      <w:r>
        <w:rPr>
          <w:rFonts w:hint="eastAsia" w:ascii="宋体" w:hAnsi="宋体" w:cs="宋体"/>
          <w:bCs/>
          <w:color w:val="auto"/>
          <w:sz w:val="24"/>
        </w:rPr>
        <w:t>。</w:t>
      </w:r>
    </w:p>
    <w:p>
      <w:pPr>
        <w:numPr>
          <w:ilvl w:val="0"/>
          <w:numId w:val="0"/>
        </w:numPr>
        <w:spacing w:line="360" w:lineRule="auto"/>
        <w:ind w:left="845" w:leftChars="0" w:firstLine="420" w:firstLineChars="0"/>
        <w:rPr>
          <w:rFonts w:hint="eastAsia" w:eastAsia="宋体"/>
          <w:color w:val="auto"/>
          <w:lang w:val="en-US" w:eastAsia="zh-CN"/>
        </w:rPr>
      </w:pPr>
      <w:r>
        <w:rPr>
          <w:rFonts w:hint="eastAsia"/>
          <w:b/>
          <w:bCs/>
          <w:color w:val="auto"/>
          <w:sz w:val="24"/>
          <w:lang w:val="en-US" w:eastAsia="zh-CN"/>
        </w:rPr>
        <w:t>后续监控</w:t>
      </w:r>
      <w:r>
        <w:rPr>
          <w:rFonts w:hint="eastAsia"/>
          <w:b/>
          <w:bCs/>
          <w:color w:val="auto"/>
          <w:sz w:val="24"/>
        </w:rPr>
        <w:t>服务：</w:t>
      </w:r>
      <w:r>
        <w:rPr>
          <w:rFonts w:hint="eastAsia"/>
          <w:color w:val="auto"/>
          <w:sz w:val="24"/>
          <w:u w:val="single"/>
          <w:lang w:val="en-US" w:eastAsia="zh-CN"/>
        </w:rPr>
        <w:t>自验收之日起1095个日历天</w:t>
      </w:r>
      <w:r>
        <w:rPr>
          <w:rFonts w:hint="eastAsia"/>
          <w:color w:val="auto"/>
          <w:sz w:val="24"/>
        </w:rPr>
        <w:t>。</w:t>
      </w:r>
    </w:p>
    <w:p>
      <w:pPr>
        <w:numPr>
          <w:ilvl w:val="0"/>
          <w:numId w:val="3"/>
        </w:numPr>
        <w:spacing w:line="360" w:lineRule="auto"/>
        <w:rPr>
          <w:color w:val="auto"/>
          <w:sz w:val="24"/>
        </w:rPr>
      </w:pPr>
      <w:r>
        <w:rPr>
          <w:rFonts w:hint="eastAsia"/>
          <w:b/>
          <w:bCs/>
          <w:color w:val="auto"/>
          <w:sz w:val="24"/>
        </w:rPr>
        <w:t>服务地点</w:t>
      </w:r>
      <w:r>
        <w:rPr>
          <w:rFonts w:hint="eastAsia"/>
          <w:color w:val="auto"/>
          <w:sz w:val="24"/>
        </w:rPr>
        <w:t>：</w:t>
      </w:r>
      <w:r>
        <w:rPr>
          <w:rFonts w:hint="eastAsia"/>
          <w:color w:val="auto"/>
          <w:sz w:val="24"/>
          <w:u w:val="single"/>
        </w:rPr>
        <w:t>郑州市高新区长椿路与枫杨街交叉口郑州大学河南省超级计算中心</w:t>
      </w:r>
      <w:r>
        <w:rPr>
          <w:rFonts w:hint="eastAsia"/>
          <w:color w:val="auto"/>
          <w:sz w:val="24"/>
        </w:rPr>
        <w:t>。</w:t>
      </w:r>
    </w:p>
    <w:p>
      <w:pPr>
        <w:spacing w:line="360" w:lineRule="auto"/>
        <w:ind w:left="240" w:hanging="240" w:hangingChars="100"/>
        <w:rPr>
          <w:color w:val="auto"/>
          <w:sz w:val="24"/>
        </w:rPr>
      </w:pPr>
      <w:r>
        <w:rPr>
          <w:rFonts w:hint="eastAsia"/>
          <w:color w:val="auto"/>
          <w:sz w:val="24"/>
        </w:rPr>
        <w:tab/>
      </w:r>
      <w:r>
        <w:rPr>
          <w:rFonts w:hint="eastAsia"/>
          <w:color w:val="auto"/>
          <w:sz w:val="24"/>
        </w:rPr>
        <w:t xml:space="preserve"> 3、</w:t>
      </w:r>
      <w:r>
        <w:rPr>
          <w:rFonts w:hint="eastAsia"/>
          <w:b/>
          <w:bCs/>
          <w:color w:val="auto"/>
          <w:sz w:val="24"/>
        </w:rPr>
        <w:t>服务方式</w:t>
      </w:r>
      <w:r>
        <w:rPr>
          <w:rFonts w:hint="eastAsia"/>
          <w:color w:val="auto"/>
          <w:sz w:val="24"/>
        </w:rPr>
        <w:t>：</w:t>
      </w:r>
      <w:r>
        <w:rPr>
          <w:rFonts w:hint="eastAsia"/>
          <w:color w:val="auto"/>
          <w:sz w:val="24"/>
          <w:u w:val="single"/>
        </w:rPr>
        <w:t>质保期</w:t>
      </w:r>
      <w:r>
        <w:rPr>
          <w:color w:val="auto"/>
          <w:sz w:val="24"/>
          <w:u w:val="single"/>
        </w:rPr>
        <w:t>内，</w:t>
      </w:r>
      <w:r>
        <w:rPr>
          <w:rFonts w:hint="eastAsia"/>
          <w:color w:val="auto"/>
          <w:sz w:val="24"/>
          <w:u w:val="single"/>
        </w:rPr>
        <w:t>自验收合格起，</w:t>
      </w:r>
      <w:r>
        <w:rPr>
          <w:rFonts w:hint="eastAsia" w:ascii="宋体" w:hAnsi="宋体" w:cs="宋体"/>
          <w:color w:val="auto"/>
          <w:sz w:val="24"/>
          <w:u w:val="single"/>
          <w:lang w:val="en-US" w:eastAsia="zh-CN"/>
        </w:rPr>
        <w:t>乙方</w:t>
      </w:r>
      <w:r>
        <w:rPr>
          <w:rFonts w:hint="eastAsia" w:ascii="宋体" w:hAnsi="宋体" w:cs="宋体"/>
          <w:color w:val="auto"/>
          <w:sz w:val="24"/>
          <w:u w:val="single"/>
        </w:rPr>
        <w:t>提供三年的免费售后服务</w:t>
      </w:r>
      <w:r>
        <w:rPr>
          <w:rFonts w:hint="eastAsia"/>
          <w:color w:val="auto"/>
          <w:sz w:val="24"/>
          <w:u w:val="single"/>
        </w:rPr>
        <w:t xml:space="preserve"> ；</w:t>
      </w:r>
      <w:r>
        <w:rPr>
          <w:color w:val="auto"/>
          <w:sz w:val="24"/>
          <w:u w:val="single"/>
        </w:rPr>
        <w:t>提供</w:t>
      </w:r>
      <w:r>
        <w:rPr>
          <w:rFonts w:hint="eastAsia"/>
          <w:color w:val="auto"/>
          <w:sz w:val="24"/>
          <w:u w:val="single"/>
        </w:rPr>
        <w:t>三年5*8小时安全保障服务</w:t>
      </w:r>
      <w:r>
        <w:rPr>
          <w:rFonts w:hint="eastAsia"/>
          <w:color w:val="auto"/>
          <w:sz w:val="24"/>
        </w:rPr>
        <w:t>。</w:t>
      </w:r>
    </w:p>
    <w:p>
      <w:pPr>
        <w:spacing w:line="360" w:lineRule="auto"/>
        <w:rPr>
          <w:b/>
          <w:color w:val="auto"/>
          <w:sz w:val="24"/>
        </w:rPr>
      </w:pPr>
      <w:r>
        <w:rPr>
          <w:rFonts w:hint="eastAsia"/>
          <w:color w:val="auto"/>
          <w:sz w:val="24"/>
        </w:rPr>
        <w:t xml:space="preserve"> </w:t>
      </w:r>
      <w:r>
        <w:rPr>
          <w:rFonts w:hint="eastAsia"/>
          <w:b/>
          <w:color w:val="auto"/>
          <w:sz w:val="24"/>
        </w:rPr>
        <w:t>五、验收标准、方法：</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验收</w:t>
      </w:r>
      <w:r>
        <w:rPr>
          <w:rFonts w:hint="eastAsia" w:ascii="宋体" w:hAnsi="宋体"/>
          <w:color w:val="auto"/>
          <w:sz w:val="24"/>
          <w:szCs w:val="24"/>
          <w:lang w:val="en-US" w:eastAsia="zh-CN"/>
        </w:rPr>
        <w:t>标准：</w:t>
      </w:r>
      <w:r>
        <w:rPr>
          <w:rFonts w:hint="eastAsia" w:ascii="宋体" w:hAnsi="宋体"/>
          <w:color w:val="auto"/>
          <w:sz w:val="24"/>
          <w:szCs w:val="24"/>
        </w:rPr>
        <w:t>完成等保差距分析服务，提供相应材料、报告；</w:t>
      </w:r>
      <w:r>
        <w:rPr>
          <w:rFonts w:hint="eastAsia" w:ascii="宋体" w:hAnsi="宋体"/>
          <w:color w:val="auto"/>
          <w:sz w:val="24"/>
          <w:szCs w:val="24"/>
          <w:highlight w:val="none"/>
        </w:rPr>
        <w:t>提供</w:t>
      </w:r>
      <w:r>
        <w:rPr>
          <w:rFonts w:hint="eastAsia" w:ascii="宋体" w:hAnsi="宋体"/>
          <w:color w:val="auto"/>
          <w:sz w:val="24"/>
          <w:szCs w:val="24"/>
          <w:highlight w:val="none"/>
          <w:lang w:val="en-US" w:eastAsia="zh-CN"/>
        </w:rPr>
        <w:t>后续</w:t>
      </w:r>
      <w:r>
        <w:rPr>
          <w:rFonts w:hint="eastAsia" w:ascii="宋体" w:hAnsi="宋体"/>
          <w:color w:val="auto"/>
          <w:sz w:val="24"/>
          <w:szCs w:val="24"/>
          <w:highlight w:val="none"/>
        </w:rPr>
        <w:t>服务方案及服务承诺书</w:t>
      </w:r>
      <w:r>
        <w:rPr>
          <w:rFonts w:hint="eastAsia" w:ascii="宋体" w:hAnsi="宋体"/>
          <w:color w:val="auto"/>
          <w:sz w:val="24"/>
          <w:szCs w:val="24"/>
          <w:lang w:eastAsia="zh-CN"/>
        </w:rPr>
        <w:t>。</w:t>
      </w:r>
    </w:p>
    <w:p>
      <w:pPr>
        <w:numPr>
          <w:ilvl w:val="0"/>
          <w:numId w:val="4"/>
        </w:numPr>
        <w:spacing w:line="360" w:lineRule="auto"/>
        <w:ind w:firstLine="480" w:firstLineChars="200"/>
        <w:rPr>
          <w:rFonts w:ascii="宋体" w:hAnsi="宋体"/>
          <w:color w:val="auto"/>
          <w:sz w:val="24"/>
          <w:szCs w:val="24"/>
        </w:rPr>
      </w:pPr>
      <w:r>
        <w:rPr>
          <w:rFonts w:hint="eastAsia" w:ascii="宋体" w:hAnsi="宋体"/>
          <w:color w:val="auto"/>
          <w:sz w:val="24"/>
          <w:szCs w:val="24"/>
        </w:rPr>
        <w:t>等保差距分析服务</w:t>
      </w:r>
      <w:r>
        <w:rPr>
          <w:rFonts w:hint="default" w:ascii="宋体" w:hAnsi="宋体"/>
          <w:color w:val="auto"/>
          <w:sz w:val="24"/>
          <w:szCs w:val="24"/>
          <w:lang w:val="en-US"/>
        </w:rPr>
        <w:t>,</w:t>
      </w:r>
      <w:r>
        <w:rPr>
          <w:rFonts w:hint="eastAsia" w:ascii="宋体" w:hAnsi="宋体"/>
          <w:color w:val="auto"/>
          <w:sz w:val="24"/>
          <w:szCs w:val="24"/>
          <w:lang w:val="en-US" w:eastAsia="zh-CN"/>
        </w:rPr>
        <w:t>提供如下检测报告：</w:t>
      </w:r>
    </w:p>
    <w:p>
      <w:pPr>
        <w:numPr>
          <w:ilvl w:val="0"/>
          <w:numId w:val="5"/>
        </w:numPr>
        <w:bidi w:val="0"/>
        <w:rPr>
          <w:color w:val="auto"/>
        </w:rPr>
      </w:pPr>
      <w:r>
        <w:rPr>
          <w:rFonts w:hint="eastAsia"/>
          <w:color w:val="auto"/>
          <w:lang w:eastAsia="zh-CN"/>
        </w:rPr>
        <w:t>《</w:t>
      </w:r>
      <w:r>
        <w:rPr>
          <w:rFonts w:hint="eastAsia"/>
          <w:color w:val="auto"/>
        </w:rPr>
        <w:t>先进计算平台</w:t>
      </w:r>
      <w:r>
        <w:rPr>
          <w:rFonts w:hint="eastAsia"/>
          <w:color w:val="auto"/>
          <w:lang w:val="en-US" w:eastAsia="zh-CN"/>
        </w:rPr>
        <w:t>等保差距分析报告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先进计算平台</w:t>
      </w:r>
      <w:r>
        <w:rPr>
          <w:rFonts w:hint="eastAsia"/>
          <w:color w:val="auto"/>
          <w:lang w:val="en-US" w:eastAsia="zh-CN"/>
        </w:rPr>
        <w:t>安全检测报告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云平台</w:t>
      </w:r>
      <w:r>
        <w:rPr>
          <w:rFonts w:hint="eastAsia"/>
          <w:color w:val="auto"/>
          <w:lang w:val="en-US" w:eastAsia="zh-CN"/>
        </w:rPr>
        <w:t>等保差距分析报告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云平台</w:t>
      </w:r>
      <w:r>
        <w:rPr>
          <w:rFonts w:hint="eastAsia"/>
          <w:color w:val="auto"/>
          <w:lang w:val="en-US" w:eastAsia="zh-CN"/>
        </w:rPr>
        <w:t>安全检测报告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官网</w:t>
      </w:r>
      <w:r>
        <w:rPr>
          <w:rFonts w:hint="eastAsia"/>
          <w:color w:val="auto"/>
          <w:lang w:val="en-US" w:eastAsia="zh-CN"/>
        </w:rPr>
        <w:t>等保差距分析报告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官网</w:t>
      </w:r>
      <w:r>
        <w:rPr>
          <w:rFonts w:hint="eastAsia"/>
          <w:color w:val="auto"/>
          <w:lang w:val="en-US" w:eastAsia="zh-CN"/>
        </w:rPr>
        <w:t>安全检测报告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工单</w:t>
      </w:r>
      <w:r>
        <w:rPr>
          <w:rFonts w:hint="eastAsia"/>
          <w:color w:val="auto"/>
          <w:lang w:val="en-US" w:eastAsia="zh-CN"/>
        </w:rPr>
        <w:t>系统等保差距分析报告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工单</w:t>
      </w:r>
      <w:r>
        <w:rPr>
          <w:rFonts w:hint="eastAsia"/>
          <w:color w:val="auto"/>
          <w:lang w:val="en-US" w:eastAsia="zh-CN"/>
        </w:rPr>
        <w:t>系统安全检测报告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PBS调度系统</w:t>
      </w:r>
      <w:r>
        <w:rPr>
          <w:rFonts w:hint="eastAsia"/>
          <w:color w:val="auto"/>
          <w:lang w:val="en-US" w:eastAsia="zh-CN"/>
        </w:rPr>
        <w:t>等保差距分析报告</w:t>
      </w:r>
      <w:r>
        <w:rPr>
          <w:rFonts w:hint="eastAsia"/>
          <w:color w:val="auto"/>
          <w:lang w:eastAsia="zh-CN"/>
        </w:rPr>
        <w:t>》</w:t>
      </w:r>
    </w:p>
    <w:p>
      <w:pPr>
        <w:numPr>
          <w:ilvl w:val="0"/>
          <w:numId w:val="5"/>
        </w:numPr>
        <w:bidi w:val="0"/>
        <w:rPr>
          <w:color w:val="auto"/>
        </w:rPr>
      </w:pPr>
      <w:r>
        <w:rPr>
          <w:rFonts w:hint="eastAsia"/>
          <w:color w:val="auto"/>
          <w:lang w:eastAsia="zh-CN"/>
        </w:rPr>
        <w:t>《</w:t>
      </w:r>
      <w:r>
        <w:rPr>
          <w:rFonts w:hint="eastAsia"/>
          <w:color w:val="auto"/>
        </w:rPr>
        <w:t>PBS调度系统</w:t>
      </w:r>
      <w:r>
        <w:rPr>
          <w:rFonts w:hint="eastAsia"/>
          <w:color w:val="auto"/>
          <w:lang w:val="en-US" w:eastAsia="zh-CN"/>
        </w:rPr>
        <w:t>安全检测报告</w:t>
      </w:r>
      <w:r>
        <w:rPr>
          <w:rFonts w:hint="eastAsia"/>
          <w:color w:val="auto"/>
          <w:lang w:eastAsia="zh-CN"/>
        </w:rPr>
        <w:t>》</w:t>
      </w:r>
    </w:p>
    <w:p>
      <w:pPr>
        <w:numPr>
          <w:ilvl w:val="0"/>
          <w:numId w:val="4"/>
        </w:numPr>
        <w:spacing w:line="360" w:lineRule="auto"/>
        <w:ind w:firstLine="480" w:firstLineChars="200"/>
        <w:rPr>
          <w:bCs/>
          <w:color w:val="auto"/>
          <w:sz w:val="24"/>
        </w:rPr>
      </w:pPr>
      <w:r>
        <w:rPr>
          <w:rFonts w:hint="eastAsia" w:ascii="宋体" w:hAnsi="宋体"/>
          <w:color w:val="auto"/>
          <w:sz w:val="24"/>
          <w:szCs w:val="24"/>
        </w:rPr>
        <w:t>提供</w:t>
      </w:r>
      <w:r>
        <w:rPr>
          <w:rFonts w:hint="eastAsia" w:ascii="宋体" w:hAnsi="宋体"/>
          <w:color w:val="auto"/>
          <w:sz w:val="24"/>
          <w:szCs w:val="24"/>
          <w:lang w:val="en-US" w:eastAsia="zh-CN"/>
        </w:rPr>
        <w:t>后续</w:t>
      </w:r>
      <w:r>
        <w:rPr>
          <w:rFonts w:hint="eastAsia" w:ascii="宋体" w:hAnsi="宋体"/>
          <w:color w:val="auto"/>
          <w:sz w:val="24"/>
          <w:szCs w:val="24"/>
        </w:rPr>
        <w:t>服务方案</w:t>
      </w:r>
      <w:r>
        <w:rPr>
          <w:rFonts w:hint="eastAsia" w:ascii="宋体" w:hAnsi="宋体"/>
          <w:color w:val="auto"/>
          <w:sz w:val="24"/>
          <w:szCs w:val="24"/>
          <w:highlight w:val="none"/>
        </w:rPr>
        <w:t>及服务承诺书</w:t>
      </w:r>
      <w:r>
        <w:rPr>
          <w:rFonts w:hint="eastAsia" w:ascii="宋体" w:hAnsi="宋体"/>
          <w:color w:val="auto"/>
          <w:sz w:val="24"/>
          <w:szCs w:val="24"/>
        </w:rPr>
        <w:t>；</w:t>
      </w:r>
    </w:p>
    <w:p>
      <w:pPr>
        <w:pStyle w:val="7"/>
        <w:ind w:firstLine="420" w:firstLineChars="0"/>
        <w:rPr>
          <w:rFonts w:hint="default"/>
          <w:color w:val="auto"/>
          <w:lang w:val="en-US" w:eastAsia="zh-CN"/>
        </w:rPr>
      </w:pPr>
      <w:r>
        <w:rPr>
          <w:rFonts w:hint="eastAsia" w:ascii="宋体" w:hAnsi="宋体"/>
          <w:color w:val="auto"/>
          <w:sz w:val="24"/>
          <w:szCs w:val="24"/>
          <w:lang w:val="en-US" w:eastAsia="zh-CN"/>
        </w:rPr>
        <w:t>验收方法：</w:t>
      </w:r>
      <w:r>
        <w:rPr>
          <w:rFonts w:hint="eastAsia" w:hAnsi="宋体"/>
          <w:color w:val="auto"/>
          <w:sz w:val="24"/>
          <w:szCs w:val="24"/>
          <w:lang w:val="en-US" w:eastAsia="zh-CN"/>
        </w:rPr>
        <w:t>专家评审。</w:t>
      </w:r>
    </w:p>
    <w:p>
      <w:pPr>
        <w:spacing w:line="360" w:lineRule="auto"/>
        <w:rPr>
          <w:b/>
          <w:color w:val="auto"/>
          <w:sz w:val="24"/>
        </w:rPr>
      </w:pPr>
      <w:r>
        <w:rPr>
          <w:rFonts w:hint="eastAsia"/>
          <w:b/>
          <w:color w:val="auto"/>
          <w:sz w:val="24"/>
        </w:rPr>
        <w:t>六、结算方式及期限：</w:t>
      </w:r>
    </w:p>
    <w:p>
      <w:pPr>
        <w:spacing w:line="360" w:lineRule="auto"/>
        <w:rPr>
          <w:rFonts w:ascii="宋体" w:hAnsi="宋体"/>
          <w:color w:val="auto"/>
          <w:sz w:val="24"/>
          <w:szCs w:val="24"/>
        </w:rPr>
      </w:pPr>
      <w:r>
        <w:rPr>
          <w:rFonts w:hint="eastAsia"/>
          <w:b/>
          <w:color w:val="auto"/>
          <w:sz w:val="24"/>
        </w:rPr>
        <w:t xml:space="preserve">    </w:t>
      </w:r>
      <w:r>
        <w:rPr>
          <w:rFonts w:hint="eastAsia"/>
          <w:color w:val="auto"/>
          <w:highlight w:val="none"/>
        </w:rPr>
        <w:t>验收合格审计后</w:t>
      </w:r>
      <w:r>
        <w:rPr>
          <w:rFonts w:hint="eastAsia" w:ascii="宋体" w:hAnsi="宋体"/>
          <w:color w:val="auto"/>
          <w:sz w:val="24"/>
          <w:szCs w:val="24"/>
        </w:rPr>
        <w:t>，甲方向乙方支付合同总价款的80％，即人民币（大写）：</w:t>
      </w:r>
      <w:r>
        <w:rPr>
          <w:rFonts w:hint="eastAsia" w:ascii="宋体" w:hAnsi="宋体"/>
          <w:color w:val="auto"/>
          <w:sz w:val="24"/>
          <w:szCs w:val="24"/>
          <w:u w:val="single"/>
        </w:rPr>
        <w:t>壹佰壹拾柒万贰仟</w:t>
      </w:r>
      <w:r>
        <w:rPr>
          <w:rFonts w:hint="eastAsia" w:ascii="宋体" w:hAnsi="宋体"/>
          <w:color w:val="auto"/>
          <w:sz w:val="24"/>
          <w:szCs w:val="24"/>
          <w:u w:val="single"/>
          <w:lang w:eastAsia="zh-CN"/>
        </w:rPr>
        <w:t>圆</w:t>
      </w:r>
      <w:r>
        <w:rPr>
          <w:rFonts w:hint="eastAsia" w:ascii="宋体" w:hAnsi="宋体"/>
          <w:color w:val="auto"/>
          <w:sz w:val="24"/>
          <w:szCs w:val="24"/>
          <w:u w:val="single"/>
        </w:rPr>
        <w:t>整</w:t>
      </w:r>
      <w:r>
        <w:rPr>
          <w:rFonts w:hint="eastAsia" w:ascii="宋体" w:hAnsi="宋体"/>
          <w:color w:val="auto"/>
          <w:sz w:val="24"/>
          <w:szCs w:val="24"/>
        </w:rPr>
        <w:t>（￥</w:t>
      </w:r>
      <w:r>
        <w:rPr>
          <w:rFonts w:hint="eastAsia" w:ascii="宋体" w:hAnsi="宋体"/>
          <w:color w:val="auto"/>
          <w:sz w:val="24"/>
          <w:szCs w:val="24"/>
          <w:u w:val="single"/>
        </w:rPr>
        <w:t>1172000</w:t>
      </w:r>
      <w:r>
        <w:rPr>
          <w:rFonts w:hint="eastAsia" w:ascii="宋体" w:hAnsi="宋体"/>
          <w:color w:val="auto"/>
          <w:sz w:val="24"/>
          <w:szCs w:val="24"/>
        </w:rPr>
        <w:t>元）；质保期满后，甲方向乙方支付剩余20％的货款，即人民币（大写）：</w:t>
      </w:r>
      <w:r>
        <w:rPr>
          <w:rFonts w:hint="eastAsia" w:ascii="宋体" w:hAnsi="宋体"/>
          <w:color w:val="auto"/>
          <w:sz w:val="24"/>
          <w:szCs w:val="24"/>
          <w:u w:val="single"/>
        </w:rPr>
        <w:t>贰拾玖万叁仟圆整</w:t>
      </w:r>
      <w:r>
        <w:rPr>
          <w:rFonts w:hint="eastAsia" w:ascii="宋体" w:hAnsi="宋体"/>
          <w:color w:val="auto"/>
          <w:sz w:val="24"/>
          <w:szCs w:val="24"/>
        </w:rPr>
        <w:t>（￥</w:t>
      </w:r>
      <w:r>
        <w:rPr>
          <w:rFonts w:hint="eastAsia" w:ascii="宋体" w:hAnsi="宋体"/>
          <w:color w:val="auto"/>
          <w:sz w:val="24"/>
          <w:szCs w:val="24"/>
          <w:u w:val="single"/>
        </w:rPr>
        <w:t>293000</w:t>
      </w:r>
      <w:r>
        <w:rPr>
          <w:rFonts w:hint="eastAsia" w:ascii="宋体" w:hAnsi="宋体"/>
          <w:color w:val="auto"/>
          <w:sz w:val="24"/>
          <w:szCs w:val="24"/>
        </w:rPr>
        <w:t>元）。</w:t>
      </w:r>
    </w:p>
    <w:p>
      <w:pPr>
        <w:spacing w:line="360" w:lineRule="auto"/>
        <w:rPr>
          <w:b/>
          <w:color w:val="auto"/>
          <w:sz w:val="24"/>
        </w:rPr>
      </w:pPr>
      <w:r>
        <w:rPr>
          <w:rFonts w:hint="eastAsia"/>
          <w:b/>
          <w:color w:val="auto"/>
          <w:sz w:val="24"/>
        </w:rPr>
        <w:t xml:space="preserve">七、免费质保约定： </w:t>
      </w:r>
    </w:p>
    <w:p>
      <w:pPr>
        <w:spacing w:line="360" w:lineRule="auto"/>
        <w:ind w:firstLine="480" w:firstLineChars="200"/>
        <w:rPr>
          <w:rFonts w:hint="default" w:ascii="宋体" w:hAnsi="宋体" w:eastAsia="宋体" w:cs="宋体"/>
          <w:color w:val="auto"/>
          <w:szCs w:val="21"/>
          <w:lang w:val="en-US" w:eastAsia="zh-CN"/>
        </w:rPr>
      </w:pPr>
      <w:r>
        <w:rPr>
          <w:rFonts w:hint="eastAsia"/>
          <w:color w:val="auto"/>
          <w:lang w:val="en-US" w:eastAsia="zh-CN"/>
        </w:rPr>
        <w:t>1</w:t>
      </w:r>
      <w:r>
        <w:rPr>
          <w:rFonts w:hint="default"/>
          <w:color w:val="auto"/>
          <w:lang w:val="en-US" w:eastAsia="zh-CN"/>
        </w:rPr>
        <w:t>、</w:t>
      </w:r>
      <w:r>
        <w:rPr>
          <w:rFonts w:hint="eastAsia"/>
          <w:color w:val="auto"/>
          <w:lang w:val="en-US" w:eastAsia="zh-CN"/>
        </w:rPr>
        <w:t>质保期</w:t>
      </w:r>
      <w:r>
        <w:rPr>
          <w:rFonts w:hint="default"/>
          <w:color w:val="auto"/>
          <w:lang w:val="en-US" w:eastAsia="zh-CN"/>
        </w:rPr>
        <w:t>内，</w:t>
      </w:r>
      <w:r>
        <w:rPr>
          <w:rFonts w:hint="eastAsia" w:ascii="宋体" w:hAnsi="宋体" w:cs="宋体"/>
          <w:color w:val="auto"/>
          <w:szCs w:val="21"/>
        </w:rPr>
        <w:t>自验收</w:t>
      </w:r>
      <w:r>
        <w:rPr>
          <w:rFonts w:hint="eastAsia" w:ascii="宋体" w:hAnsi="宋体" w:cs="宋体"/>
          <w:color w:val="auto"/>
          <w:szCs w:val="21"/>
          <w:lang w:val="en-US" w:eastAsia="zh-CN"/>
        </w:rPr>
        <w:t>合格</w:t>
      </w:r>
      <w:r>
        <w:rPr>
          <w:rFonts w:hint="eastAsia" w:ascii="宋体" w:hAnsi="宋体" w:cs="宋体"/>
          <w:color w:val="auto"/>
          <w:szCs w:val="21"/>
        </w:rPr>
        <w:t>起，</w:t>
      </w:r>
      <w:r>
        <w:rPr>
          <w:rFonts w:hint="default" w:ascii="宋体" w:hAnsi="宋体" w:cs="宋体"/>
          <w:color w:val="auto"/>
          <w:szCs w:val="21"/>
          <w:lang w:val="en-US" w:eastAsia="zh-CN"/>
        </w:rPr>
        <w:t>我公司</w:t>
      </w:r>
      <w:r>
        <w:rPr>
          <w:rFonts w:hint="eastAsia" w:ascii="宋体" w:hAnsi="宋体" w:cs="宋体"/>
          <w:color w:val="auto"/>
          <w:szCs w:val="21"/>
        </w:rPr>
        <w:t>提供一年的免费技术服务</w:t>
      </w:r>
      <w:r>
        <w:rPr>
          <w:rFonts w:hint="eastAsia" w:ascii="宋体" w:hAnsi="宋体" w:cs="宋体"/>
          <w:color w:val="auto"/>
          <w:szCs w:val="21"/>
          <w:lang w:eastAsia="zh-CN"/>
        </w:rPr>
        <w:t>，</w:t>
      </w:r>
      <w:r>
        <w:rPr>
          <w:rFonts w:hint="eastAsia" w:ascii="宋体" w:hAnsi="宋体" w:cs="宋体"/>
          <w:color w:val="auto"/>
          <w:szCs w:val="21"/>
          <w:lang w:val="en-US" w:eastAsia="zh-CN"/>
        </w:rPr>
        <w:t>其中服务内容涉及：系统安全风险持续监测服务、系统安全事件应急防御服务、安全日志分析服务、数据库安全审计服务、运维行为安全审计服务、安全</w:t>
      </w:r>
      <w:r>
        <w:rPr>
          <w:rFonts w:hint="eastAsia" w:ascii="宋体" w:hAnsi="宋体" w:cs="宋体"/>
          <w:color w:val="auto"/>
          <w:szCs w:val="21"/>
          <w:lang w:val="en-US" w:eastAsia="zh-Hans"/>
        </w:rPr>
        <w:t>检测升级</w:t>
      </w:r>
      <w:r>
        <w:rPr>
          <w:rFonts w:hint="eastAsia" w:ascii="宋体" w:hAnsi="宋体" w:cs="宋体"/>
          <w:color w:val="auto"/>
          <w:szCs w:val="21"/>
          <w:lang w:val="en-US" w:eastAsia="zh-CN"/>
        </w:rPr>
        <w:t>服务、</w:t>
      </w:r>
      <w:r>
        <w:rPr>
          <w:rFonts w:hint="eastAsia" w:ascii="宋体" w:hAnsi="宋体" w:cs="宋体"/>
          <w:color w:val="auto"/>
          <w:szCs w:val="21"/>
          <w:lang w:val="en-US" w:eastAsia="zh-Hans"/>
        </w:rPr>
        <w:t>攻防演练服务</w:t>
      </w:r>
      <w:r>
        <w:rPr>
          <w:rFonts w:hint="eastAsia" w:ascii="宋体" w:hAnsi="宋体" w:cs="宋体"/>
          <w:color w:val="auto"/>
          <w:szCs w:val="21"/>
          <w:lang w:val="en-US" w:eastAsia="zh-CN"/>
        </w:rPr>
        <w:t>、</w:t>
      </w:r>
      <w:r>
        <w:rPr>
          <w:rFonts w:hint="eastAsia" w:ascii="宋体" w:hAnsi="宋体" w:cs="宋体"/>
          <w:color w:val="auto"/>
          <w:szCs w:val="21"/>
          <w:lang w:val="en-US" w:eastAsia="zh-Hans"/>
        </w:rPr>
        <w:t>等保测评服务</w:t>
      </w:r>
      <w:r>
        <w:rPr>
          <w:rFonts w:hint="eastAsia" w:ascii="宋体" w:hAnsi="宋体" w:cs="宋体"/>
          <w:color w:val="auto"/>
          <w:szCs w:val="21"/>
          <w:lang w:val="en-US" w:eastAsia="zh-CN"/>
        </w:rPr>
        <w:t>、等</w:t>
      </w:r>
      <w:r>
        <w:rPr>
          <w:rFonts w:hint="eastAsia" w:ascii="宋体" w:hAnsi="宋体" w:cs="宋体"/>
          <w:color w:val="auto"/>
          <w:szCs w:val="21"/>
          <w:lang w:val="en-US" w:eastAsia="zh-Hans"/>
        </w:rPr>
        <w:t>保差距分析服务</w:t>
      </w:r>
      <w:r>
        <w:rPr>
          <w:rFonts w:hint="eastAsia" w:ascii="宋体" w:hAnsi="宋体" w:cs="宋体"/>
          <w:color w:val="auto"/>
          <w:szCs w:val="21"/>
          <w:lang w:val="en-US" w:eastAsia="zh-CN"/>
        </w:rPr>
        <w:t>、</w:t>
      </w:r>
      <w:r>
        <w:rPr>
          <w:rFonts w:hint="eastAsia" w:ascii="宋体" w:hAnsi="宋体" w:cs="宋体"/>
          <w:color w:val="auto"/>
          <w:szCs w:val="21"/>
          <w:lang w:val="en-US" w:eastAsia="zh-Hans"/>
        </w:rPr>
        <w:t>等保安全整改服务</w:t>
      </w:r>
      <w:r>
        <w:rPr>
          <w:rFonts w:hint="eastAsia" w:ascii="宋体" w:hAnsi="宋体" w:cs="宋体"/>
          <w:color w:val="auto"/>
          <w:szCs w:val="21"/>
          <w:lang w:val="en-US" w:eastAsia="zh-CN"/>
        </w:rPr>
        <w:t>、</w:t>
      </w:r>
      <w:r>
        <w:rPr>
          <w:rFonts w:hint="eastAsia" w:ascii="宋体" w:hAnsi="宋体" w:cs="宋体"/>
          <w:color w:val="auto"/>
          <w:szCs w:val="21"/>
          <w:lang w:val="en-US" w:eastAsia="zh-Hans"/>
        </w:rPr>
        <w:t>信息安全管理制度服务</w:t>
      </w:r>
      <w:r>
        <w:rPr>
          <w:rFonts w:hint="eastAsia" w:ascii="宋体" w:hAnsi="宋体" w:cs="宋体"/>
          <w:color w:val="auto"/>
          <w:szCs w:val="21"/>
          <w:lang w:val="en-US" w:eastAsia="zh-CN"/>
        </w:rPr>
        <w:t>、</w:t>
      </w:r>
      <w:r>
        <w:rPr>
          <w:rFonts w:hint="eastAsia" w:ascii="宋体" w:hAnsi="宋体" w:cs="宋体"/>
          <w:color w:val="auto"/>
          <w:szCs w:val="21"/>
          <w:lang w:val="en-US" w:eastAsia="zh-Hans"/>
        </w:rPr>
        <w:t>计算专区安全提升服务</w:t>
      </w:r>
      <w:r>
        <w:rPr>
          <w:rFonts w:hint="eastAsia" w:ascii="宋体" w:hAnsi="宋体" w:cs="宋体"/>
          <w:color w:val="auto"/>
          <w:szCs w:val="21"/>
          <w:lang w:val="en-US" w:eastAsia="zh-CN"/>
        </w:rPr>
        <w:t>、</w:t>
      </w:r>
      <w:r>
        <w:rPr>
          <w:rFonts w:hint="eastAsia" w:ascii="宋体" w:hAnsi="宋体" w:cs="宋体"/>
          <w:color w:val="auto"/>
          <w:szCs w:val="21"/>
          <w:lang w:val="en-US" w:eastAsia="zh-Hans"/>
        </w:rPr>
        <w:t>安全运维可视化服务</w:t>
      </w:r>
      <w:r>
        <w:rPr>
          <w:rFonts w:hint="eastAsia" w:ascii="宋体" w:hAnsi="宋体" w:cs="宋体"/>
          <w:color w:val="auto"/>
          <w:szCs w:val="21"/>
          <w:lang w:val="en-US" w:eastAsia="zh-CN"/>
        </w:rPr>
        <w:t>、</w:t>
      </w:r>
      <w:r>
        <w:rPr>
          <w:rFonts w:hint="eastAsia" w:ascii="宋体" w:hAnsi="宋体" w:cs="宋体"/>
          <w:color w:val="auto"/>
          <w:szCs w:val="21"/>
          <w:lang w:val="en-US" w:eastAsia="zh-Hans"/>
        </w:rPr>
        <w:t>安全驻场服务</w:t>
      </w:r>
      <w:r>
        <w:rPr>
          <w:rFonts w:hint="eastAsia" w:ascii="宋体" w:hAnsi="宋体" w:cs="宋体"/>
          <w:color w:val="auto"/>
          <w:szCs w:val="21"/>
          <w:lang w:val="en-US" w:eastAsia="zh-CN"/>
        </w:rPr>
        <w:t>和</w:t>
      </w:r>
      <w:r>
        <w:rPr>
          <w:rFonts w:hint="eastAsia" w:ascii="宋体" w:hAnsi="宋体" w:cs="宋体"/>
          <w:color w:val="auto"/>
          <w:szCs w:val="21"/>
          <w:lang w:val="en-US" w:eastAsia="zh-Hans"/>
        </w:rPr>
        <w:t>定制化本地培训服务</w:t>
      </w:r>
      <w:r>
        <w:rPr>
          <w:rFonts w:hint="eastAsia" w:ascii="宋体" w:hAnsi="宋体" w:cs="宋体"/>
          <w:color w:val="auto"/>
          <w:szCs w:val="21"/>
          <w:lang w:val="en-US" w:eastAsia="zh-CN"/>
        </w:rPr>
        <w:t>等15项内容</w:t>
      </w:r>
      <w:r>
        <w:rPr>
          <w:rFonts w:hint="default" w:ascii="宋体" w:hAnsi="宋体" w:eastAsia="宋体" w:cs="宋体"/>
          <w:color w:val="auto"/>
          <w:szCs w:val="21"/>
          <w:lang w:val="en-US" w:eastAsia="zh-CN"/>
        </w:rPr>
        <w:t>。</w:t>
      </w:r>
    </w:p>
    <w:p>
      <w:pPr>
        <w:spacing w:line="360" w:lineRule="auto"/>
        <w:ind w:firstLine="48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我公司针对本项目</w:t>
      </w:r>
      <w:r>
        <w:rPr>
          <w:rFonts w:hint="default" w:ascii="宋体" w:hAnsi="宋体" w:eastAsia="宋体" w:cs="宋体"/>
          <w:color w:val="auto"/>
          <w:szCs w:val="21"/>
          <w:lang w:val="en-US" w:eastAsia="zh-CN"/>
        </w:rPr>
        <w:t>提供</w:t>
      </w:r>
      <w:r>
        <w:rPr>
          <w:rFonts w:hint="eastAsia" w:ascii="宋体" w:hAnsi="宋体" w:eastAsia="宋体" w:cs="宋体"/>
          <w:color w:val="auto"/>
          <w:szCs w:val="21"/>
          <w:lang w:val="en-US" w:eastAsia="zh-CN"/>
        </w:rPr>
        <w:t>三年2人5*8小时安全驻场运营保障服务</w:t>
      </w:r>
      <w:r>
        <w:rPr>
          <w:rFonts w:hint="default" w:ascii="宋体" w:hAnsi="宋体" w:eastAsia="宋体" w:cs="宋体"/>
          <w:color w:val="auto"/>
          <w:szCs w:val="21"/>
          <w:lang w:val="en-US" w:eastAsia="zh-CN"/>
        </w:rPr>
        <w:t>。</w:t>
      </w:r>
    </w:p>
    <w:p>
      <w:pPr>
        <w:spacing w:line="360" w:lineRule="auto"/>
        <w:ind w:firstLine="480" w:firstLineChars="200"/>
        <w:rPr>
          <w:rFonts w:ascii="宋体" w:hAnsi="宋体"/>
          <w:color w:val="auto"/>
          <w:sz w:val="24"/>
          <w:szCs w:val="24"/>
        </w:rPr>
      </w:pPr>
      <w:r>
        <w:rPr>
          <w:rFonts w:hint="eastAsia" w:ascii="宋体" w:hAnsi="宋体" w:eastAsia="宋体" w:cs="宋体"/>
          <w:color w:val="auto"/>
          <w:szCs w:val="21"/>
          <w:lang w:val="en-US" w:eastAsia="zh-CN"/>
        </w:rPr>
        <w:t>3、质保期满后，我公司提供免费咨询服务，为用户提供永久咨询服务。</w:t>
      </w:r>
    </w:p>
    <w:p>
      <w:pPr>
        <w:numPr>
          <w:ilvl w:val="0"/>
          <w:numId w:val="6"/>
        </w:numPr>
        <w:spacing w:line="360" w:lineRule="auto"/>
        <w:rPr>
          <w:color w:val="auto"/>
          <w:szCs w:val="21"/>
        </w:rPr>
      </w:pPr>
      <w:r>
        <w:rPr>
          <w:rFonts w:hint="eastAsia"/>
          <w:b/>
          <w:color w:val="auto"/>
          <w:sz w:val="24"/>
        </w:rPr>
        <w:t>售后服务承诺</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乙方承诺对本项目的售后服务坚持以河南省超级计算中心（国家超级计算郑州中心）应用需求为导向，基于当前超算中心的业务发展方向和等保建设差距健全超算中心安全保障体系，依据信息安全防御体系建设有关的法律法规和技术标准，切实提升超算中心常态化安全运维能力。</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在本项目建设过程中，乙方除响应招标文件中所有的条款及履约合同内容外，并对项目售后服务做出如下承诺：</w:t>
      </w:r>
    </w:p>
    <w:p>
      <w:pPr>
        <w:spacing w:line="360" w:lineRule="auto"/>
        <w:ind w:firstLine="480" w:firstLineChars="200"/>
        <w:rPr>
          <w:rFonts w:ascii="宋体" w:hAnsi="宋体" w:cs="宋体"/>
          <w:color w:val="auto"/>
          <w:sz w:val="24"/>
        </w:rPr>
      </w:pPr>
      <w:r>
        <w:rPr>
          <w:rFonts w:hint="eastAsia" w:ascii="宋体" w:hAnsi="宋体" w:cs="宋体"/>
          <w:color w:val="auto"/>
          <w:sz w:val="24"/>
        </w:rPr>
        <w:t>1、在质保期内针对本项目，</w:t>
      </w:r>
      <w:r>
        <w:rPr>
          <w:rFonts w:hint="eastAsia" w:ascii="宋体" w:hAnsi="宋体" w:cs="宋体"/>
          <w:color w:val="auto"/>
          <w:sz w:val="24"/>
          <w:lang w:val="en-US" w:eastAsia="zh-CN"/>
        </w:rPr>
        <w:t>乙方</w:t>
      </w:r>
      <w:r>
        <w:rPr>
          <w:rFonts w:hint="eastAsia" w:ascii="宋体" w:hAnsi="宋体" w:cs="宋体"/>
          <w:color w:val="auto"/>
          <w:sz w:val="24"/>
        </w:rPr>
        <w:t>将提供2人三年5*8h的现场服务，若涉及到服务系统出现故障，自接到甲方报修电话时，我方现场工程师实时响应，30分钟内解决故障问题，如在规定时间内无法解决问题，联系相关服务系统或设备厂商远程协助或临时提供系统备件，4小时内解决解决故障。</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、质保期满后，我公司提供免费咨询服务，为用户提供永久咨询服务。</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、针对超算中心举办或者政府要求的重大活动，免费提供网络系统的安全保障服务。</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乙方</w:t>
      </w:r>
      <w:r>
        <w:rPr>
          <w:rFonts w:hint="eastAsia" w:ascii="宋体" w:hAnsi="宋体" w:cs="宋体"/>
          <w:color w:val="auto"/>
          <w:sz w:val="24"/>
        </w:rPr>
        <w:t>将对重大故障提供7*24小时的现场支援，一般故障提供5*8小时的现场支援。</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、对甲方相关人员实施免费的现场培训或集中培训措施，保证甲方相关人员能够独立操作、熟练使用、维护和管理有关设备。</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、为保障用户业务系统的正常运行，在售后技术支持服务期间，</w:t>
      </w:r>
      <w:r>
        <w:rPr>
          <w:rFonts w:hint="eastAsia" w:ascii="宋体" w:hAnsi="宋体" w:cs="宋体"/>
          <w:color w:val="auto"/>
          <w:sz w:val="24"/>
          <w:lang w:val="en-US" w:eastAsia="zh-CN"/>
        </w:rPr>
        <w:t>乙方</w:t>
      </w:r>
      <w:r>
        <w:rPr>
          <w:rFonts w:hint="eastAsia" w:ascii="宋体" w:hAnsi="宋体" w:cs="宋体"/>
          <w:color w:val="auto"/>
          <w:sz w:val="24"/>
        </w:rPr>
        <w:t>开通电话、传真、邮件等多种联系方式，响应用户服务请求，必要时直达用户现场。</w:t>
      </w:r>
    </w:p>
    <w:p>
      <w:pPr>
        <w:spacing w:line="360" w:lineRule="auto"/>
        <w:ind w:firstLine="480" w:firstLineChars="200"/>
        <w:rPr>
          <w:color w:val="auto"/>
        </w:rPr>
      </w:pPr>
      <w:r>
        <w:rPr>
          <w:rFonts w:hint="eastAsia" w:ascii="宋体" w:hAnsi="宋体" w:cs="宋体"/>
          <w:color w:val="auto"/>
          <w:sz w:val="24"/>
          <w:lang w:val="en-US" w:eastAsia="zh-CN"/>
        </w:rPr>
        <w:t>7</w:t>
      </w:r>
      <w:r>
        <w:rPr>
          <w:rFonts w:hint="eastAsia" w:ascii="宋体" w:hAnsi="宋体" w:cs="宋体"/>
          <w:color w:val="auto"/>
          <w:sz w:val="24"/>
        </w:rPr>
        <w:t>、热线联系方式：0371-55331805。</w:t>
      </w:r>
    </w:p>
    <w:p>
      <w:pPr>
        <w:spacing w:line="360" w:lineRule="auto"/>
        <w:rPr>
          <w:b/>
          <w:color w:val="auto"/>
          <w:sz w:val="24"/>
        </w:rPr>
      </w:pPr>
      <w:r>
        <w:rPr>
          <w:rFonts w:hint="eastAsia"/>
          <w:b/>
          <w:color w:val="auto"/>
          <w:sz w:val="24"/>
        </w:rPr>
        <w:t>九</w:t>
      </w:r>
      <w:r>
        <w:rPr>
          <w:b/>
          <w:color w:val="auto"/>
          <w:sz w:val="24"/>
        </w:rPr>
        <w:t>、履约担保</w:t>
      </w:r>
    </w:p>
    <w:p>
      <w:pPr>
        <w:spacing w:line="360" w:lineRule="auto"/>
        <w:ind w:firstLine="480" w:firstLineChars="200"/>
        <w:rPr>
          <w:rFonts w:ascii="宋体" w:hAnsi="宋体" w:cs="宋体"/>
          <w:color w:val="auto"/>
          <w:sz w:val="24"/>
        </w:rPr>
      </w:pPr>
      <w:r>
        <w:rPr>
          <w:rFonts w:hint="eastAsia" w:ascii="宋体" w:hAnsi="宋体" w:cs="宋体"/>
          <w:color w:val="auto"/>
          <w:sz w:val="24"/>
        </w:rPr>
        <w:t>承包人提供履约担保的形式：以转账的方式提供；</w:t>
      </w:r>
    </w:p>
    <w:p>
      <w:pPr>
        <w:spacing w:line="360" w:lineRule="auto"/>
        <w:ind w:firstLine="480" w:firstLineChars="200"/>
        <w:rPr>
          <w:rFonts w:ascii="宋体" w:hAnsi="宋体" w:cs="宋体"/>
          <w:color w:val="auto"/>
          <w:sz w:val="24"/>
        </w:rPr>
      </w:pPr>
      <w:r>
        <w:rPr>
          <w:rFonts w:hint="eastAsia" w:ascii="宋体" w:hAnsi="宋体" w:cs="宋体"/>
          <w:color w:val="auto"/>
          <w:sz w:val="24"/>
        </w:rPr>
        <w:t>履约担保金额：合同价的5%；</w:t>
      </w:r>
    </w:p>
    <w:p>
      <w:pPr>
        <w:spacing w:line="360" w:lineRule="auto"/>
        <w:ind w:firstLine="480" w:firstLineChars="200"/>
        <w:rPr>
          <w:rFonts w:ascii="宋体" w:hAnsi="宋体" w:cs="宋体"/>
          <w:color w:val="auto"/>
          <w:sz w:val="24"/>
        </w:rPr>
      </w:pPr>
      <w:r>
        <w:rPr>
          <w:rFonts w:hint="eastAsia" w:ascii="宋体" w:hAnsi="宋体" w:cs="宋体"/>
          <w:color w:val="auto"/>
          <w:sz w:val="24"/>
        </w:rPr>
        <w:t>履约担保期限：履约担保的有效期始于工程开工之日，终止日期则可以约定为工程竣工交付之日。履约担保金在签订合同前交学校财务，工程竣工验收合格交付使用后履行手续退还。</w:t>
      </w:r>
    </w:p>
    <w:p>
      <w:pPr>
        <w:spacing w:line="360" w:lineRule="auto"/>
        <w:rPr>
          <w:b/>
          <w:color w:val="auto"/>
          <w:sz w:val="24"/>
        </w:rPr>
      </w:pPr>
      <w:r>
        <w:rPr>
          <w:rFonts w:hint="eastAsia"/>
          <w:b/>
          <w:color w:val="auto"/>
          <w:sz w:val="24"/>
        </w:rPr>
        <w:t>十、违约责任：</w:t>
      </w:r>
    </w:p>
    <w:p>
      <w:pPr>
        <w:spacing w:line="360" w:lineRule="auto"/>
        <w:ind w:firstLine="420"/>
        <w:rPr>
          <w:rFonts w:ascii="宋体" w:hAnsi="宋体" w:cs="宋体"/>
          <w:color w:val="auto"/>
          <w:sz w:val="24"/>
        </w:rPr>
      </w:pPr>
      <w:r>
        <w:rPr>
          <w:rFonts w:hint="eastAsia" w:ascii="宋体" w:hAnsi="宋体" w:cs="宋体"/>
          <w:color w:val="auto"/>
          <w:sz w:val="24"/>
        </w:rPr>
        <w:t>1、乙方违约：乙方提供的服务内容不符合约定的质量要求，甲方有权解除或终止合同，并要求乙方按合同总价款的5%支付违约金，给甲方造成经济损失的，乙方还应如数赔偿；乙方未按约定期限交付标的物，每迟延一天须按合同总价的1%向甲方支付违约金。如果乙方对合同迟延履行超过合理期限，甲方有权解除或终止，并且要求乙方赔偿由此造成的经济损失。</w:t>
      </w:r>
    </w:p>
    <w:p>
      <w:pPr>
        <w:spacing w:line="360" w:lineRule="auto"/>
        <w:ind w:firstLine="420"/>
        <w:rPr>
          <w:color w:val="auto"/>
          <w:sz w:val="24"/>
        </w:rPr>
      </w:pPr>
      <w:r>
        <w:rPr>
          <w:rFonts w:hint="eastAsia"/>
          <w:color w:val="auto"/>
          <w:sz w:val="24"/>
        </w:rPr>
        <w:t>2、甲方违约：甲方未能按双方约定的方式和期限支付货款，按有关法律规定对乙方承担违约责任。</w:t>
      </w:r>
    </w:p>
    <w:p>
      <w:pPr>
        <w:spacing w:line="360" w:lineRule="auto"/>
        <w:ind w:firstLine="420"/>
        <w:rPr>
          <w:rFonts w:ascii="宋体"/>
          <w:color w:val="auto"/>
          <w:sz w:val="24"/>
        </w:rPr>
      </w:pPr>
      <w:r>
        <w:rPr>
          <w:rFonts w:hint="eastAsia"/>
          <w:color w:val="auto"/>
          <w:sz w:val="24"/>
        </w:rPr>
        <w:t>3、双方其他违约责任按</w:t>
      </w:r>
      <w:r>
        <w:rPr>
          <w:rFonts w:hint="eastAsia" w:ascii="宋体"/>
          <w:color w:val="auto"/>
          <w:sz w:val="24"/>
        </w:rPr>
        <w:t>《中华人民共和国民法典》的有关规定处理。</w:t>
      </w:r>
    </w:p>
    <w:p>
      <w:pPr>
        <w:spacing w:line="360" w:lineRule="auto"/>
        <w:rPr>
          <w:color w:val="auto"/>
          <w:sz w:val="24"/>
        </w:rPr>
      </w:pPr>
      <w:r>
        <w:rPr>
          <w:rFonts w:hint="eastAsia"/>
          <w:b/>
          <w:color w:val="auto"/>
          <w:sz w:val="24"/>
        </w:rPr>
        <w:t>十一、解决合同纠纷的方式：</w:t>
      </w:r>
      <w:r>
        <w:rPr>
          <w:rFonts w:hint="eastAsia"/>
          <w:color w:val="auto"/>
          <w:sz w:val="24"/>
        </w:rPr>
        <w:t>双方在执行合同时产生纠纷，协商解决；协商不成，向甲方所在地人民法院提起诉讼。</w:t>
      </w:r>
    </w:p>
    <w:p>
      <w:pPr>
        <w:spacing w:line="360" w:lineRule="auto"/>
        <w:rPr>
          <w:b/>
          <w:color w:val="auto"/>
          <w:sz w:val="24"/>
        </w:rPr>
      </w:pPr>
      <w:r>
        <w:rPr>
          <w:rFonts w:hint="eastAsia"/>
          <w:b/>
          <w:color w:val="auto"/>
          <w:sz w:val="24"/>
        </w:rPr>
        <w:t>十二、其它约定事项：</w:t>
      </w:r>
      <w:r>
        <w:rPr>
          <w:rFonts w:hint="eastAsia"/>
          <w:bCs/>
          <w:color w:val="auto"/>
          <w:sz w:val="24"/>
        </w:rPr>
        <w:t>无</w:t>
      </w:r>
    </w:p>
    <w:p>
      <w:pPr>
        <w:spacing w:line="360" w:lineRule="auto"/>
        <w:rPr>
          <w:rFonts w:ascii="宋体" w:hAnsi="宋体"/>
          <w:color w:val="auto"/>
          <w:sz w:val="28"/>
          <w:szCs w:val="28"/>
          <w:highlight w:val="yellow"/>
        </w:rPr>
      </w:pPr>
      <w:r>
        <w:rPr>
          <w:rFonts w:hint="eastAsia"/>
          <w:b/>
          <w:color w:val="auto"/>
          <w:sz w:val="24"/>
        </w:rPr>
        <w:t>十三、本合同未尽事宜，甲乙双方可协商签订补充协议，与本合同具有同等法律效力。</w:t>
      </w:r>
    </w:p>
    <w:p>
      <w:pPr>
        <w:spacing w:line="360" w:lineRule="auto"/>
        <w:rPr>
          <w:rFonts w:ascii="宋体" w:hAnsi="宋体"/>
          <w:color w:val="auto"/>
          <w:sz w:val="28"/>
          <w:szCs w:val="28"/>
        </w:rPr>
      </w:pPr>
      <w:r>
        <w:rPr>
          <w:rFonts w:hint="eastAsia"/>
          <w:b/>
          <w:color w:val="auto"/>
          <w:sz w:val="24"/>
        </w:rPr>
        <w:t>十四</w:t>
      </w:r>
      <w:r>
        <w:rPr>
          <w:b/>
          <w:color w:val="auto"/>
          <w:sz w:val="24"/>
        </w:rPr>
        <w:t>、</w:t>
      </w:r>
      <w:r>
        <w:rPr>
          <w:rFonts w:hint="eastAsia"/>
          <w:b/>
          <w:color w:val="auto"/>
          <w:sz w:val="24"/>
        </w:rPr>
        <w:t>本合同正本贰份、副本捌份，甲方与乙方各执肆份，报送招标代理机构贰份。</w:t>
      </w:r>
    </w:p>
    <w:p>
      <w:pPr>
        <w:spacing w:line="360" w:lineRule="auto"/>
        <w:rPr>
          <w:b/>
          <w:color w:val="auto"/>
          <w:sz w:val="24"/>
        </w:rPr>
      </w:pPr>
      <w:r>
        <w:rPr>
          <w:rFonts w:hint="eastAsia"/>
          <w:b/>
          <w:color w:val="auto"/>
          <w:sz w:val="24"/>
        </w:rPr>
        <w:t>十五、本合同双方签字盖章后生效，随合同履行完成而自行终止。</w:t>
      </w:r>
    </w:p>
    <w:p>
      <w:pPr>
        <w:spacing w:line="360" w:lineRule="auto"/>
        <w:ind w:firstLine="480" w:firstLineChars="200"/>
        <w:rPr>
          <w:color w:val="auto"/>
          <w:sz w:val="24"/>
        </w:rPr>
      </w:pPr>
    </w:p>
    <w:p>
      <w:pPr>
        <w:spacing w:line="360" w:lineRule="auto"/>
        <w:rPr>
          <w:color w:val="auto"/>
          <w:sz w:val="24"/>
        </w:rPr>
      </w:pPr>
    </w:p>
    <w:tbl>
      <w:tblPr>
        <w:tblStyle w:val="15"/>
        <w:tblpPr w:leftFromText="180" w:rightFromText="180" w:vertAnchor="text" w:horzAnchor="margin" w:tblpX="25" w:tblpY="50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500" w:type="dxa"/>
            <w:tcBorders>
              <w:top w:val="nil"/>
              <w:left w:val="nil"/>
              <w:bottom w:val="nil"/>
              <w:right w:val="nil"/>
            </w:tcBorders>
          </w:tcPr>
          <w:p>
            <w:pPr>
              <w:spacing w:line="360" w:lineRule="auto"/>
              <w:rPr>
                <w:color w:val="auto"/>
                <w:sz w:val="24"/>
                <w:szCs w:val="24"/>
              </w:rPr>
            </w:pPr>
            <w:r>
              <w:rPr>
                <w:rFonts w:hint="eastAsia" w:ascii="宋体" w:hAnsi="宋体"/>
                <w:color w:val="auto"/>
                <w:sz w:val="24"/>
                <w:szCs w:val="24"/>
              </w:rPr>
              <w:t xml:space="preserve">甲方（盖章）：郑州大学                            </w:t>
            </w:r>
          </w:p>
          <w:p>
            <w:pPr>
              <w:spacing w:line="360" w:lineRule="auto"/>
              <w:rPr>
                <w:color w:val="auto"/>
                <w:sz w:val="24"/>
                <w:szCs w:val="24"/>
              </w:rPr>
            </w:pPr>
            <w:r>
              <w:rPr>
                <w:rFonts w:hint="eastAsia" w:ascii="宋体" w:hAnsi="宋体"/>
                <w:color w:val="auto"/>
                <w:sz w:val="24"/>
                <w:szCs w:val="24"/>
              </w:rPr>
              <w:t>法定代表人或代理人：</w:t>
            </w:r>
          </w:p>
          <w:p>
            <w:pPr>
              <w:spacing w:line="360" w:lineRule="auto"/>
              <w:ind w:left="960" w:hanging="960" w:hangingChars="400"/>
              <w:rPr>
                <w:color w:val="auto"/>
                <w:sz w:val="24"/>
                <w:szCs w:val="24"/>
              </w:rPr>
            </w:pPr>
            <w:r>
              <w:rPr>
                <w:rFonts w:hint="eastAsia" w:ascii="宋体" w:hAnsi="宋体"/>
                <w:color w:val="auto"/>
                <w:sz w:val="24"/>
                <w:szCs w:val="24"/>
              </w:rPr>
              <w:t>单位地址：河南省郑州市高新区科学大道100号</w:t>
            </w:r>
          </w:p>
          <w:p>
            <w:pPr>
              <w:spacing w:line="360" w:lineRule="auto"/>
              <w:rPr>
                <w:color w:val="auto"/>
                <w:sz w:val="24"/>
                <w:szCs w:val="24"/>
              </w:rPr>
            </w:pPr>
            <w:r>
              <w:rPr>
                <w:rFonts w:hint="eastAsia" w:ascii="宋体" w:hAnsi="宋体"/>
                <w:color w:val="auto"/>
                <w:sz w:val="24"/>
                <w:szCs w:val="24"/>
              </w:rPr>
              <w:t>电话：</w:t>
            </w:r>
          </w:p>
          <w:p>
            <w:pPr>
              <w:spacing w:line="360" w:lineRule="auto"/>
              <w:rPr>
                <w:rFonts w:hint="eastAsia" w:ascii="宋体" w:hAnsi="宋体"/>
                <w:color w:val="auto"/>
                <w:sz w:val="24"/>
                <w:szCs w:val="24"/>
              </w:rPr>
            </w:pPr>
            <w:r>
              <w:rPr>
                <w:rFonts w:hint="eastAsia" w:ascii="宋体" w:hAnsi="宋体"/>
                <w:color w:val="auto"/>
                <w:sz w:val="24"/>
                <w:szCs w:val="24"/>
              </w:rPr>
              <w:t>开户银行：</w:t>
            </w:r>
            <w:r>
              <w:rPr>
                <w:rFonts w:hint="eastAsia" w:ascii="宋体" w:hAnsi="宋体"/>
                <w:color w:val="auto"/>
                <w:sz w:val="24"/>
                <w:szCs w:val="24"/>
                <w:lang w:val="en-US" w:eastAsia="zh-Hans"/>
              </w:rPr>
              <w:t>工</w:t>
            </w:r>
            <w:r>
              <w:rPr>
                <w:rFonts w:hint="eastAsia" w:ascii="宋体" w:hAnsi="宋体" w:eastAsia="宋体" w:cs="Calibri"/>
                <w:color w:val="auto"/>
              </w:rPr>
              <w:t>商银行郑州中苑名都支行</w:t>
            </w:r>
          </w:p>
          <w:p>
            <w:pPr>
              <w:spacing w:line="360" w:lineRule="auto"/>
              <w:rPr>
                <w:rFonts w:hint="eastAsia" w:ascii="宋体" w:hAnsi="宋体"/>
                <w:color w:val="auto"/>
                <w:sz w:val="24"/>
                <w:szCs w:val="24"/>
              </w:rPr>
            </w:pPr>
          </w:p>
          <w:p>
            <w:pPr>
              <w:spacing w:line="360" w:lineRule="auto"/>
              <w:rPr>
                <w:color w:val="auto"/>
                <w:sz w:val="24"/>
                <w:szCs w:val="24"/>
              </w:rPr>
            </w:pPr>
            <w:r>
              <w:rPr>
                <w:rFonts w:hint="eastAsia" w:ascii="宋体" w:hAnsi="宋体"/>
                <w:color w:val="auto"/>
                <w:sz w:val="24"/>
                <w:szCs w:val="24"/>
              </w:rPr>
              <w:t>户名：</w:t>
            </w:r>
            <w:r>
              <w:rPr>
                <w:rFonts w:hint="eastAsia" w:ascii="宋体" w:hAnsi="宋体" w:eastAsia="宋体" w:cs="Calibri"/>
                <w:color w:val="auto"/>
              </w:rPr>
              <w:t>郑州大学</w:t>
            </w:r>
          </w:p>
          <w:p>
            <w:pPr>
              <w:spacing w:line="360" w:lineRule="auto"/>
              <w:rPr>
                <w:color w:val="auto"/>
                <w:sz w:val="24"/>
                <w:szCs w:val="24"/>
              </w:rPr>
            </w:pPr>
            <w:r>
              <w:rPr>
                <w:rFonts w:hint="eastAsia" w:ascii="宋体" w:hAnsi="宋体"/>
                <w:color w:val="auto"/>
                <w:sz w:val="24"/>
                <w:szCs w:val="24"/>
              </w:rPr>
              <w:t>帐号：</w:t>
            </w:r>
            <w:r>
              <w:rPr>
                <w:rFonts w:hint="eastAsia" w:ascii="宋体" w:hAnsi="宋体" w:eastAsia="宋体" w:cs="Calibri"/>
                <w:color w:val="auto"/>
              </w:rPr>
              <w:t>1702021109014403854</w:t>
            </w:r>
          </w:p>
          <w:p>
            <w:pPr>
              <w:spacing w:line="360" w:lineRule="auto"/>
              <w:rPr>
                <w:color w:val="auto"/>
                <w:sz w:val="24"/>
                <w:szCs w:val="24"/>
              </w:rPr>
            </w:pPr>
            <w:r>
              <w:rPr>
                <w:rFonts w:hint="eastAsia" w:ascii="宋体" w:hAnsi="宋体"/>
                <w:color w:val="auto"/>
                <w:sz w:val="24"/>
                <w:szCs w:val="24"/>
                <w:lang w:eastAsia="zh-CN"/>
              </w:rPr>
              <w:t>签署</w:t>
            </w:r>
            <w:r>
              <w:rPr>
                <w:rFonts w:hint="eastAsia" w:ascii="宋体" w:hAnsi="宋体"/>
                <w:color w:val="auto"/>
                <w:sz w:val="24"/>
                <w:szCs w:val="24"/>
              </w:rPr>
              <w:t>日期：</w:t>
            </w:r>
          </w:p>
        </w:tc>
        <w:tc>
          <w:tcPr>
            <w:tcW w:w="4560" w:type="dxa"/>
            <w:tcBorders>
              <w:top w:val="nil"/>
              <w:left w:val="nil"/>
              <w:bottom w:val="nil"/>
              <w:right w:val="nil"/>
            </w:tcBorders>
          </w:tcPr>
          <w:p>
            <w:pPr>
              <w:spacing w:line="360" w:lineRule="auto"/>
              <w:rPr>
                <w:color w:val="auto"/>
                <w:sz w:val="24"/>
                <w:szCs w:val="24"/>
              </w:rPr>
            </w:pPr>
            <w:r>
              <w:rPr>
                <w:rFonts w:hint="eastAsia" w:ascii="宋体" w:hAnsi="宋体"/>
                <w:color w:val="auto"/>
                <w:sz w:val="24"/>
                <w:szCs w:val="24"/>
              </w:rPr>
              <w:t>乙方（盖章）：河南融浩通信工程有限公司</w:t>
            </w:r>
          </w:p>
          <w:p>
            <w:pPr>
              <w:spacing w:line="360" w:lineRule="auto"/>
              <w:rPr>
                <w:color w:val="auto"/>
                <w:sz w:val="24"/>
                <w:szCs w:val="24"/>
              </w:rPr>
            </w:pPr>
            <w:r>
              <w:rPr>
                <w:rFonts w:hint="eastAsia" w:ascii="宋体" w:hAnsi="宋体"/>
                <w:color w:val="auto"/>
                <w:sz w:val="24"/>
                <w:szCs w:val="24"/>
              </w:rPr>
              <w:t>法定代表</w:t>
            </w:r>
            <w:r>
              <w:rPr>
                <w:rFonts w:hint="eastAsia" w:ascii="宋体" w:hAnsi="宋体"/>
                <w:color w:val="auto"/>
                <w:sz w:val="24"/>
                <w:szCs w:val="24"/>
                <w:lang w:eastAsia="zh-CN"/>
              </w:rPr>
              <w:t>人</w:t>
            </w:r>
            <w:r>
              <w:rPr>
                <w:rFonts w:hint="eastAsia" w:ascii="宋体" w:hAnsi="宋体"/>
                <w:color w:val="auto"/>
                <w:sz w:val="24"/>
                <w:szCs w:val="24"/>
              </w:rPr>
              <w:t>或代理人：</w:t>
            </w:r>
          </w:p>
          <w:p>
            <w:pPr>
              <w:spacing w:line="360" w:lineRule="auto"/>
              <w:ind w:left="960" w:hanging="960" w:hangingChars="400"/>
              <w:rPr>
                <w:color w:val="auto"/>
                <w:sz w:val="24"/>
                <w:szCs w:val="24"/>
              </w:rPr>
            </w:pPr>
            <w:r>
              <w:rPr>
                <w:rFonts w:hint="eastAsia" w:ascii="宋体" w:hAnsi="宋体"/>
                <w:color w:val="auto"/>
                <w:sz w:val="24"/>
                <w:szCs w:val="24"/>
              </w:rPr>
              <w:t>单位地址：郑州市金水区东风路18号汇宝花园19号楼5单元6楼东户</w:t>
            </w:r>
          </w:p>
          <w:p>
            <w:pPr>
              <w:spacing w:line="360" w:lineRule="auto"/>
              <w:rPr>
                <w:color w:val="auto"/>
                <w:sz w:val="24"/>
                <w:szCs w:val="24"/>
              </w:rPr>
            </w:pPr>
            <w:r>
              <w:rPr>
                <w:rFonts w:hint="eastAsia" w:ascii="宋体" w:hAnsi="宋体"/>
                <w:color w:val="auto"/>
                <w:sz w:val="24"/>
                <w:szCs w:val="24"/>
              </w:rPr>
              <w:t>电话：</w:t>
            </w:r>
            <w:r>
              <w:rPr>
                <w:rFonts w:hint="default" w:ascii="宋体" w:hAnsi="宋体"/>
                <w:color w:val="auto"/>
                <w:sz w:val="24"/>
                <w:szCs w:val="24"/>
              </w:rPr>
              <w:t>0371-55331805</w:t>
            </w:r>
          </w:p>
          <w:p>
            <w:pPr>
              <w:spacing w:line="360" w:lineRule="auto"/>
              <w:rPr>
                <w:color w:val="auto"/>
                <w:sz w:val="24"/>
                <w:szCs w:val="24"/>
              </w:rPr>
            </w:pPr>
            <w:r>
              <w:rPr>
                <w:rFonts w:hint="eastAsia" w:ascii="宋体" w:hAnsi="宋体"/>
                <w:color w:val="auto"/>
                <w:sz w:val="24"/>
                <w:szCs w:val="24"/>
              </w:rPr>
              <w:t>开户银行：中国工商银行股份有限公司郑州行政区支行</w:t>
            </w:r>
          </w:p>
          <w:p>
            <w:pPr>
              <w:spacing w:line="360" w:lineRule="auto"/>
              <w:rPr>
                <w:color w:val="auto"/>
                <w:sz w:val="24"/>
                <w:szCs w:val="24"/>
              </w:rPr>
            </w:pPr>
            <w:r>
              <w:rPr>
                <w:rFonts w:hint="eastAsia" w:ascii="宋体" w:hAnsi="宋体"/>
                <w:color w:val="auto"/>
                <w:sz w:val="24"/>
                <w:szCs w:val="24"/>
              </w:rPr>
              <w:t>户名：河南融浩通信工程有限公司</w:t>
            </w:r>
          </w:p>
          <w:p>
            <w:pPr>
              <w:spacing w:line="360" w:lineRule="auto"/>
              <w:rPr>
                <w:color w:val="auto"/>
                <w:sz w:val="24"/>
                <w:szCs w:val="24"/>
              </w:rPr>
            </w:pPr>
            <w:r>
              <w:rPr>
                <w:rFonts w:hint="eastAsia" w:ascii="宋体" w:hAnsi="宋体"/>
                <w:color w:val="auto"/>
                <w:sz w:val="24"/>
                <w:szCs w:val="24"/>
              </w:rPr>
              <w:t>帐号：1702 0291 0920 1104 207</w:t>
            </w:r>
          </w:p>
          <w:p>
            <w:pPr>
              <w:spacing w:line="360" w:lineRule="auto"/>
              <w:rPr>
                <w:color w:val="auto"/>
                <w:sz w:val="24"/>
                <w:szCs w:val="24"/>
              </w:rPr>
            </w:pPr>
            <w:r>
              <w:rPr>
                <w:rFonts w:hint="eastAsia" w:ascii="宋体" w:hAnsi="宋体"/>
                <w:color w:val="auto"/>
                <w:sz w:val="24"/>
                <w:szCs w:val="24"/>
              </w:rPr>
              <w:t>签</w:t>
            </w:r>
            <w:r>
              <w:rPr>
                <w:rFonts w:hint="eastAsia" w:ascii="宋体" w:hAnsi="宋体"/>
                <w:color w:val="auto"/>
                <w:sz w:val="24"/>
                <w:szCs w:val="24"/>
                <w:lang w:eastAsia="zh-CN"/>
              </w:rPr>
              <w:t>署</w:t>
            </w:r>
            <w:r>
              <w:rPr>
                <w:rFonts w:hint="eastAsia" w:ascii="宋体" w:hAnsi="宋体"/>
                <w:color w:val="auto"/>
                <w:sz w:val="24"/>
                <w:szCs w:val="24"/>
              </w:rPr>
              <w:t>日期：</w:t>
            </w:r>
          </w:p>
        </w:tc>
      </w:tr>
    </w:tbl>
    <w:p>
      <w:pPr>
        <w:pStyle w:val="8"/>
        <w:rPr>
          <w:color w:val="auto"/>
        </w:rPr>
      </w:pPr>
    </w:p>
    <w:p>
      <w:pPr>
        <w:pStyle w:val="9"/>
        <w:rPr>
          <w:color w:val="auto"/>
        </w:rPr>
      </w:pPr>
    </w:p>
    <w:p>
      <w:pPr>
        <w:spacing w:line="360" w:lineRule="auto"/>
        <w:rPr>
          <w:rFonts w:hint="default" w:eastAsia="宋体"/>
          <w:color w:val="auto"/>
          <w:sz w:val="24"/>
          <w:lang w:val="en-US" w:eastAsia="zh-CN"/>
        </w:rPr>
      </w:pPr>
      <w:r>
        <w:rPr>
          <w:rFonts w:hint="eastAsia"/>
          <w:color w:val="auto"/>
          <w:sz w:val="24"/>
        </w:rPr>
        <w:t>签约</w:t>
      </w:r>
      <w:r>
        <w:rPr>
          <w:color w:val="auto"/>
          <w:sz w:val="24"/>
        </w:rPr>
        <w:t>地点：</w:t>
      </w:r>
      <w:r>
        <w:rPr>
          <w:rFonts w:hint="eastAsia"/>
          <w:color w:val="auto"/>
          <w:sz w:val="24"/>
          <w:highlight w:val="none"/>
          <w:lang w:val="en-US" w:eastAsia="zh-CN"/>
        </w:rPr>
        <w:t>国家超级计算郑州中心</w:t>
      </w:r>
    </w:p>
    <w:p>
      <w:pPr>
        <w:spacing w:line="360" w:lineRule="auto"/>
        <w:rPr>
          <w:color w:val="auto"/>
        </w:rPr>
      </w:pPr>
    </w:p>
    <w:p>
      <w:pPr>
        <w:pStyle w:val="2"/>
        <w:spacing w:line="360" w:lineRule="auto"/>
        <w:rPr>
          <w:color w:val="auto"/>
        </w:rPr>
      </w:pPr>
    </w:p>
    <w:p>
      <w:pPr>
        <w:spacing w:line="360" w:lineRule="auto"/>
        <w:rPr>
          <w:color w:val="auto"/>
        </w:rPr>
      </w:pPr>
      <w:r>
        <w:rPr>
          <w:color w:val="auto"/>
        </w:rPr>
        <w:br w:type="page"/>
      </w:r>
    </w:p>
    <w:p>
      <w:pPr>
        <w:spacing w:line="360" w:lineRule="auto"/>
        <w:jc w:val="left"/>
        <w:rPr>
          <w:b/>
          <w:bCs/>
          <w:color w:val="auto"/>
        </w:rPr>
      </w:pPr>
      <w:r>
        <w:rPr>
          <w:rFonts w:hint="eastAsia"/>
          <w:b/>
          <w:bCs/>
          <w:color w:val="auto"/>
        </w:rPr>
        <w:t>附：中标通知书</w:t>
      </w:r>
    </w:p>
    <w:p>
      <w:pPr>
        <w:pStyle w:val="7"/>
        <w:spacing w:line="360" w:lineRule="auto"/>
        <w:rPr>
          <w:color w:val="auto"/>
        </w:rPr>
      </w:pPr>
      <w:r>
        <w:rPr>
          <w:color w:val="auto"/>
        </w:rPr>
        <w:drawing>
          <wp:inline distT="0" distB="0" distL="114300" distR="114300">
            <wp:extent cx="5273040" cy="7459980"/>
            <wp:effectExtent l="0" t="0" r="10160" b="7620"/>
            <wp:docPr id="1" name="图片 1" descr="超算续保中标通知书(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超算续保中标通知书(1)_00"/>
                    <pic:cNvPicPr>
                      <a:picLocks noChangeAspect="1"/>
                    </pic:cNvPicPr>
                  </pic:nvPicPr>
                  <pic:blipFill>
                    <a:blip r:embed="rId4"/>
                    <a:stretch>
                      <a:fillRect/>
                    </a:stretch>
                  </pic:blipFill>
                  <pic:spPr>
                    <a:xfrm>
                      <a:off x="0" y="0"/>
                      <a:ext cx="5273040" cy="7459980"/>
                    </a:xfrm>
                    <a:prstGeom prst="rect">
                      <a:avLst/>
                    </a:prstGeom>
                  </pic:spPr>
                </pic:pic>
              </a:graphicData>
            </a:graphic>
          </wp:inline>
        </w:drawing>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7E8D2"/>
    <w:multiLevelType w:val="singleLevel"/>
    <w:tmpl w:val="9BC7E8D2"/>
    <w:lvl w:ilvl="0" w:tentative="0">
      <w:start w:val="1"/>
      <w:numFmt w:val="decimal"/>
      <w:lvlText w:val="(%1)"/>
      <w:lvlJc w:val="left"/>
      <w:pPr>
        <w:tabs>
          <w:tab w:val="left" w:pos="1680"/>
        </w:tabs>
        <w:ind w:left="2105" w:hanging="425"/>
      </w:pPr>
      <w:rPr>
        <w:rFonts w:hint="default"/>
      </w:rPr>
    </w:lvl>
  </w:abstractNum>
  <w:abstractNum w:abstractNumId="1">
    <w:nsid w:val="0DF52FD2"/>
    <w:multiLevelType w:val="multilevel"/>
    <w:tmpl w:val="0DF52FD2"/>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2C0F6F"/>
    <w:multiLevelType w:val="multilevel"/>
    <w:tmpl w:val="1B2C0F6F"/>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ind w:left="-402" w:firstLine="402"/>
      </w:pPr>
      <w:rPr>
        <w:rFonts w:hint="eastAsia" w:ascii="宋体" w:hAnsi="宋体" w:eastAsia="宋体" w:cs="宋体"/>
      </w:rPr>
    </w:lvl>
    <w:lvl w:ilvl="3" w:tentative="0">
      <w:start w:val="1"/>
      <w:numFmt w:val="decimal"/>
      <w:pStyle w:val="6"/>
      <w:isLgl/>
      <w:suff w:val="nothing"/>
      <w:lvlText w:val="%3.%4 "/>
      <w:lvlJc w:val="left"/>
      <w:pPr>
        <w:tabs>
          <w:tab w:val="left" w:pos="0"/>
        </w:tabs>
        <w:ind w:left="0" w:firstLine="402"/>
      </w:pPr>
      <w:rPr>
        <w:rFonts w:hint="eastAsia" w:ascii="宋体" w:hAnsi="宋体" w:eastAsia="宋体" w:cs="宋体"/>
      </w:rPr>
    </w:lvl>
    <w:lvl w:ilvl="4" w:tentative="0">
      <w:start w:val="1"/>
      <w:numFmt w:val="decimal"/>
      <w:isLgl/>
      <w:suff w:val="nothing"/>
      <w:lvlText w:val="%3.%4.%5 "/>
      <w:lvlJc w:val="left"/>
      <w:pPr>
        <w:tabs>
          <w:tab w:val="left" w:pos="0"/>
        </w:tabs>
        <w:ind w:left="0" w:firstLine="402"/>
      </w:pPr>
      <w:rPr>
        <w:rFonts w:hint="eastAsia" w:ascii="宋体" w:hAnsi="宋体" w:eastAsia="宋体" w:cs="宋体"/>
      </w:rPr>
    </w:lvl>
    <w:lvl w:ilvl="5" w:tentative="0">
      <w:start w:val="1"/>
      <w:numFmt w:val="decimalFullWidth"/>
      <w:isLgl/>
      <w:suff w:val="nothing"/>
      <w:lvlText w:val="%3.%4.%5.%6 "/>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2C1E3645"/>
    <w:multiLevelType w:val="singleLevel"/>
    <w:tmpl w:val="2C1E3645"/>
    <w:lvl w:ilvl="0" w:tentative="0">
      <w:start w:val="1"/>
      <w:numFmt w:val="decimal"/>
      <w:suff w:val="nothing"/>
      <w:lvlText w:val="%1、"/>
      <w:lvlJc w:val="left"/>
      <w:pPr>
        <w:ind w:left="420"/>
      </w:pPr>
    </w:lvl>
  </w:abstractNum>
  <w:abstractNum w:abstractNumId="4">
    <w:nsid w:val="3417D2FF"/>
    <w:multiLevelType w:val="singleLevel"/>
    <w:tmpl w:val="3417D2FF"/>
    <w:lvl w:ilvl="0" w:tentative="0">
      <w:start w:val="8"/>
      <w:numFmt w:val="chineseCounting"/>
      <w:suff w:val="nothing"/>
      <w:lvlText w:val="%1、"/>
      <w:lvlJc w:val="left"/>
      <w:rPr>
        <w:rFonts w:hint="eastAsia"/>
      </w:rPr>
    </w:lvl>
  </w:abstractNum>
  <w:abstractNum w:abstractNumId="5">
    <w:nsid w:val="494512AA"/>
    <w:multiLevelType w:val="singleLevel"/>
    <w:tmpl w:val="494512AA"/>
    <w:lvl w:ilvl="0" w:tentative="0">
      <w:start w:val="1"/>
      <w:numFmt w:val="decimal"/>
      <w:lvlText w:val="%1、"/>
      <w:lvlJc w:val="left"/>
      <w:pPr>
        <w:tabs>
          <w:tab w:val="left" w:pos="785"/>
        </w:tabs>
        <w:ind w:left="785" w:hanging="360"/>
      </w:pPr>
      <w:rPr>
        <w:rFonts w:hint="eastAsia"/>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8179C"/>
    <w:rsid w:val="000332E6"/>
    <w:rsid w:val="00A837B5"/>
    <w:rsid w:val="00E3783F"/>
    <w:rsid w:val="00FA2E04"/>
    <w:rsid w:val="0222522D"/>
    <w:rsid w:val="02AD764B"/>
    <w:rsid w:val="045B76D0"/>
    <w:rsid w:val="055955EE"/>
    <w:rsid w:val="076A2FBA"/>
    <w:rsid w:val="090B72F2"/>
    <w:rsid w:val="0D10127B"/>
    <w:rsid w:val="0DFB570C"/>
    <w:rsid w:val="10AB4BC3"/>
    <w:rsid w:val="10FF64A3"/>
    <w:rsid w:val="124037F5"/>
    <w:rsid w:val="12BE0694"/>
    <w:rsid w:val="15D867AD"/>
    <w:rsid w:val="190B05BA"/>
    <w:rsid w:val="19C43384"/>
    <w:rsid w:val="1FFFAE4C"/>
    <w:rsid w:val="20585F91"/>
    <w:rsid w:val="20A83CCF"/>
    <w:rsid w:val="2144119B"/>
    <w:rsid w:val="253D1531"/>
    <w:rsid w:val="28C442FB"/>
    <w:rsid w:val="290621BF"/>
    <w:rsid w:val="2A88034A"/>
    <w:rsid w:val="2A9F1C4D"/>
    <w:rsid w:val="2AB36A73"/>
    <w:rsid w:val="2BBB64FD"/>
    <w:rsid w:val="2CDD2ABA"/>
    <w:rsid w:val="2FA13B36"/>
    <w:rsid w:val="2FFD33F0"/>
    <w:rsid w:val="30AC42F6"/>
    <w:rsid w:val="338C4253"/>
    <w:rsid w:val="393C48A2"/>
    <w:rsid w:val="3FAF7CCF"/>
    <w:rsid w:val="4006039F"/>
    <w:rsid w:val="427A6EB0"/>
    <w:rsid w:val="42E9715F"/>
    <w:rsid w:val="46856880"/>
    <w:rsid w:val="477F22BD"/>
    <w:rsid w:val="4BB45F45"/>
    <w:rsid w:val="4D365861"/>
    <w:rsid w:val="4D37144D"/>
    <w:rsid w:val="4D4D349A"/>
    <w:rsid w:val="501C4F0D"/>
    <w:rsid w:val="563C475B"/>
    <w:rsid w:val="58991E5B"/>
    <w:rsid w:val="5A3457FD"/>
    <w:rsid w:val="5DA073C9"/>
    <w:rsid w:val="5EDF5A84"/>
    <w:rsid w:val="60D25C52"/>
    <w:rsid w:val="6220263B"/>
    <w:rsid w:val="64165E03"/>
    <w:rsid w:val="651919A7"/>
    <w:rsid w:val="65F71435"/>
    <w:rsid w:val="661B4B10"/>
    <w:rsid w:val="664C7136"/>
    <w:rsid w:val="665C25C9"/>
    <w:rsid w:val="67E8179C"/>
    <w:rsid w:val="69495FE5"/>
    <w:rsid w:val="6C1238A1"/>
    <w:rsid w:val="6C1B1835"/>
    <w:rsid w:val="6C6C557E"/>
    <w:rsid w:val="71017614"/>
    <w:rsid w:val="718D3852"/>
    <w:rsid w:val="720E6D46"/>
    <w:rsid w:val="72895067"/>
    <w:rsid w:val="732775A1"/>
    <w:rsid w:val="746D65DC"/>
    <w:rsid w:val="74EE1379"/>
    <w:rsid w:val="778274A1"/>
    <w:rsid w:val="7B9128FA"/>
    <w:rsid w:val="7C2D3030"/>
    <w:rsid w:val="7CE3270E"/>
    <w:rsid w:val="7CF14CE5"/>
    <w:rsid w:val="7D747887"/>
    <w:rsid w:val="7E51635D"/>
    <w:rsid w:val="7FE7A029"/>
    <w:rsid w:val="FBAB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numPr>
        <w:ilvl w:val="3"/>
        <w:numId w:val="1"/>
      </w:numPr>
      <w:spacing w:before="160" w:after="170" w:line="372" w:lineRule="auto"/>
      <w:outlineLvl w:val="3"/>
    </w:pPr>
    <w:rPr>
      <w:rFonts w:ascii="Arial" w:hAnsi="Arial"/>
      <w:b/>
      <w:sz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rPr>
      <w:rFonts w:ascii="Calibri" w:hAnsi="Calibri"/>
    </w:rPr>
  </w:style>
  <w:style w:type="paragraph" w:styleId="4">
    <w:name w:val="envelope return"/>
    <w:basedOn w:val="1"/>
    <w:qFormat/>
    <w:uiPriority w:val="0"/>
    <w:pPr>
      <w:snapToGrid w:val="0"/>
    </w:pPr>
    <w:rPr>
      <w:rFonts w:ascii="Arial" w:hAnsi="Arial"/>
    </w:rPr>
  </w:style>
  <w:style w:type="paragraph" w:styleId="7">
    <w:name w:val="Body Text"/>
    <w:basedOn w:val="1"/>
    <w:next w:val="8"/>
    <w:qFormat/>
    <w:uiPriority w:val="0"/>
    <w:rPr>
      <w:sz w:val="30"/>
    </w:rPr>
  </w:style>
  <w:style w:type="paragraph" w:customStyle="1" w:styleId="8">
    <w:name w:val="Default"/>
    <w:next w:val="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
    <w:name w:val="Char Char10 Char Char Char Char"/>
    <w:basedOn w:val="1"/>
    <w:next w:val="10"/>
    <w:qFormat/>
    <w:uiPriority w:val="0"/>
    <w:rPr>
      <w:rFonts w:ascii="Calibri" w:hAnsi="Calibri"/>
      <w:kern w:val="0"/>
    </w:rPr>
  </w:style>
  <w:style w:type="paragraph" w:customStyle="1" w:styleId="10">
    <w:name w:val="xl87"/>
    <w:basedOn w:val="1"/>
    <w:next w:val="1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rFonts w:ascii="宋体" w:hAnsi="宋体" w:cs="宋体"/>
      <w:b/>
      <w:bCs/>
      <w:kern w:val="0"/>
      <w:szCs w:val="21"/>
    </w:rPr>
  </w:style>
  <w:style w:type="paragraph" w:customStyle="1" w:styleId="11">
    <w:name w:val="xl72"/>
    <w:basedOn w:val="1"/>
    <w:next w:val="12"/>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styleId="12">
    <w:name w:val="Date"/>
    <w:basedOn w:val="1"/>
    <w:next w:val="1"/>
    <w:qFormat/>
    <w:uiPriority w:val="0"/>
    <w:pPr>
      <w:ind w:left="100" w:leftChars="2500"/>
    </w:pPr>
    <w:rPr>
      <w:sz w:val="24"/>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Body Text First Indent"/>
    <w:basedOn w:val="7"/>
    <w:next w:val="1"/>
    <w:qFormat/>
    <w:uiPriority w:val="0"/>
    <w:pPr>
      <w:ind w:firstLine="200" w:firstLineChars="200"/>
    </w:pPr>
    <w:rPr>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7893</Words>
  <Characters>8430</Characters>
  <Lines>14</Lines>
  <Paragraphs>4</Paragraphs>
  <TotalTime>18</TotalTime>
  <ScaleCrop>false</ScaleCrop>
  <LinksUpToDate>false</LinksUpToDate>
  <CharactersWithSpaces>8588</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2021-12-06T09:58:00Z</dcterms:created>
  <dc:creator>爱笑的眼睛</dc:creator>
  <lastModifiedBy>海涛</lastModifiedBy>
  <lastPrinted>2021-12-06T09:58:00Z</lastPrinted>
  <dcterms:modified xsi:type="dcterms:W3CDTF">2021-12-15T08:34:24Z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EABFE50F8279434085861699AEF806DC</vt:lpwstr>
  </property>
</Properties>
</file>