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ind w:firstLine="0" w:firstLineChars="0"/>
        <w:jc w:val="center"/>
        <w:rPr>
          <w:rFonts w:ascii="楷体" w:hAnsi="楷体" w:eastAsia="楷体" w:cs="Times New Roman"/>
          <w:b/>
          <w:sz w:val="52"/>
          <w:szCs w:val="52"/>
        </w:rPr>
      </w:pPr>
      <w:r>
        <w:rPr>
          <w:rFonts w:hint="eastAsia" w:ascii="楷体" w:hAnsi="楷体" w:eastAsia="楷体"/>
          <w:b/>
          <w:sz w:val="52"/>
          <w:szCs w:val="52"/>
        </w:rPr>
        <w:t>郑州大学对外联络办公室教学支撑</w:t>
      </w:r>
      <w:r>
        <w:rPr>
          <w:rFonts w:hint="eastAsia" w:ascii="楷体" w:hAnsi="楷体" w:eastAsia="楷体" w:cs="Times New Roman"/>
          <w:b/>
          <w:sz w:val="52"/>
          <w:szCs w:val="52"/>
        </w:rPr>
        <w:t>和资源建设专项（一期）子项目</w:t>
      </w:r>
    </w:p>
    <w:p>
      <w:pPr>
        <w:pStyle w:val="2"/>
        <w:ind w:firstLine="240"/>
        <w:rPr>
          <w:rFonts w:hint="eastAsia"/>
        </w:rPr>
      </w:pPr>
    </w:p>
    <w:p>
      <w:pPr>
        <w:ind w:firstLine="0" w:firstLineChars="0"/>
        <w:jc w:val="center"/>
        <w:rPr>
          <w:rFonts w:ascii="楷体" w:hAnsi="楷体" w:eastAsia="楷体"/>
          <w:b/>
          <w:sz w:val="52"/>
          <w:szCs w:val="52"/>
        </w:rPr>
      </w:pPr>
      <w:r>
        <w:rPr>
          <w:rFonts w:hint="eastAsia" w:ascii="楷体" w:hAnsi="楷体" w:eastAsia="楷体"/>
          <w:b/>
          <w:sz w:val="52"/>
          <w:szCs w:val="52"/>
        </w:rPr>
        <w:t>校友分会信息管理系统</w:t>
      </w:r>
    </w:p>
    <w:p>
      <w:pPr>
        <w:tabs>
          <w:tab w:val="left" w:pos="1674"/>
        </w:tabs>
        <w:spacing w:line="480" w:lineRule="auto"/>
        <w:ind w:firstLine="0" w:firstLineChars="0"/>
        <w:jc w:val="center"/>
        <w:rPr>
          <w:rFonts w:ascii="楷体" w:hAnsi="楷体" w:eastAsia="楷体"/>
          <w:b/>
          <w:sz w:val="52"/>
          <w:szCs w:val="52"/>
        </w:rPr>
      </w:pPr>
      <w:r>
        <w:rPr>
          <w:rFonts w:hint="eastAsia" w:ascii="楷体" w:hAnsi="楷体" w:eastAsia="楷体"/>
          <w:b/>
          <w:sz w:val="52"/>
          <w:szCs w:val="52"/>
        </w:rPr>
        <w:t>建设一期工程实施方案</w:t>
      </w:r>
    </w:p>
    <w:p>
      <w:pPr>
        <w:widowControl/>
        <w:spacing w:line="240" w:lineRule="auto"/>
        <w:ind w:firstLine="0" w:firstLineChars="0"/>
        <w:jc w:val="left"/>
        <w:rPr>
          <w:rFonts w:ascii="Times New Roman" w:hAnsi="Times New Roman" w:eastAsia="黑体"/>
          <w:sz w:val="36"/>
          <w:szCs w:val="36"/>
        </w:rPr>
      </w:pPr>
      <w:r>
        <w:rPr>
          <w:sz w:val="52"/>
        </w:rPr>
        <w:br w:type="page"/>
      </w:r>
    </w:p>
    <w:p>
      <w:pPr>
        <w:pStyle w:val="5"/>
      </w:pPr>
      <w:bookmarkStart w:id="0" w:name="_Toc16588659"/>
      <w:bookmarkStart w:id="1" w:name="_Toc16588677"/>
      <w:r>
        <w:rPr>
          <w:rFonts w:hint="eastAsia"/>
        </w:rPr>
        <w:t>实施目的</w:t>
      </w:r>
      <w:bookmarkEnd w:id="0"/>
      <w:bookmarkEnd w:id="1"/>
    </w:p>
    <w:p>
      <w:pPr>
        <w:ind w:firstLine="480"/>
        <w:jc w:val="both"/>
      </w:pPr>
      <w:r>
        <w:rPr>
          <w:rFonts w:hint="eastAsia"/>
        </w:rPr>
        <w:t xml:space="preserve"> “以先进的计算机和通信技术为主要手段，以实现毕业校友和在校同学之间的联系，促进校友之间共同发展，协力进步”。通过该系统，实现各校友分会记录无纸化、资源共享、高效协同处理问题，为郑州大学校友分会信息管理系统建立一个即时有效的信息交流管道，建立高质量、高效率的信息网络，为校友分会信息管理系统使用者提供一个方便有效的，实现交友灵活、信息资源化、传输</w:t>
      </w:r>
      <w:bookmarkStart w:id="18" w:name="_GoBack"/>
      <w:bookmarkEnd w:id="18"/>
      <w:r>
        <w:rPr>
          <w:rFonts w:hint="eastAsia"/>
        </w:rPr>
        <w:t>网络化和校友信息管理个性化。</w:t>
      </w:r>
    </w:p>
    <w:p>
      <w:pPr>
        <w:ind w:firstLine="480"/>
        <w:rPr>
          <w:rFonts w:ascii="宋体" w:hAnsi="宋体"/>
          <w:szCs w:val="24"/>
          <w:lang w:val="zh-CN"/>
        </w:rPr>
      </w:pPr>
      <w:r>
        <w:t>1</w:t>
      </w:r>
      <w:r>
        <w:rPr>
          <w:rFonts w:hint="eastAsia"/>
        </w:rPr>
        <w:t>）</w:t>
      </w:r>
      <w:r>
        <w:rPr>
          <w:rFonts w:hint="eastAsia" w:ascii="宋体" w:hAnsi="宋体"/>
          <w:szCs w:val="24"/>
          <w:lang w:val="zh-CN"/>
        </w:rPr>
        <w:t>鉴于</w:t>
      </w:r>
      <w:r>
        <w:rPr>
          <w:rFonts w:hint="eastAsia"/>
        </w:rPr>
        <w:t>校友分会信息管理系统</w:t>
      </w:r>
      <w:r>
        <w:rPr>
          <w:rFonts w:hint="eastAsia" w:ascii="宋体" w:hAnsi="宋体"/>
          <w:szCs w:val="24"/>
          <w:lang w:val="zh-CN"/>
        </w:rPr>
        <w:t>的重要性和管理的长期性和动态性，有必要引进信息化手段来提高管理质量和效率。</w:t>
      </w:r>
    </w:p>
    <w:p>
      <w:pPr>
        <w:ind w:firstLine="480"/>
      </w:pPr>
      <w:r>
        <w:t>2</w:t>
      </w:r>
      <w:r>
        <w:rPr>
          <w:rFonts w:hint="eastAsia"/>
        </w:rPr>
        <w:t>）规范校友分会信息管理系统管理行为，通过管理系统化的信息流程约束，规范管理过程，实现管理规范化，交友便利化。</w:t>
      </w:r>
    </w:p>
    <w:p>
      <w:pPr>
        <w:ind w:firstLine="480"/>
      </w:pPr>
      <w:r>
        <w:t>3</w:t>
      </w:r>
      <w:r>
        <w:rPr>
          <w:rFonts w:hint="eastAsia"/>
        </w:rPr>
        <w:t>）提高效率、节约开支。通过校友分会信息管理系统的实施应用，可以让校友之间互相联系效率大大提高，校友沟通实时快捷，不必再为查询相关校友信息费神费力，可以及时了解校友最近动态，便于合作联系。节约管理者在日常工作中的统计困难，达到开源节支，提高效率的目的。</w:t>
      </w:r>
    </w:p>
    <w:p>
      <w:pPr>
        <w:ind w:firstLine="480"/>
      </w:pPr>
      <w:r>
        <w:rPr>
          <w:rFonts w:hint="eastAsia"/>
        </w:rPr>
        <w:t>4）活动信息实时通知，便于校友活动开展，校友分会信息管理系统添加了活动信息的录入与发布，对于想要报名的校友，也提供了快速的报名方式。方便了想要参加各种文娱活动的校友，节约了参与者的时间，也给活动的举办者提供快速的统计方式，方便统计者统筹安排校友会活动举办的规模。</w:t>
      </w:r>
    </w:p>
    <w:p>
      <w:pPr>
        <w:ind w:firstLine="480"/>
      </w:pPr>
      <w:r>
        <w:rPr>
          <w:rFonts w:hint="eastAsia"/>
        </w:rPr>
        <w:t>5）校友捐赠通道方便快捷，校友分会信息管理系统添加校友捐赠功能，为热心校友提供方便的方式为校友会提供自己的帮助。节省了热心校友捐助母校的时间和精力。同时校友会拥有仓库管理功能，可以方便做到捐赠物资的数据无纸化记录，同时电子化，系统化地统计数据。极大地方便了相关部门的办理。</w:t>
      </w:r>
    </w:p>
    <w:p>
      <w:pPr>
        <w:pStyle w:val="5"/>
      </w:pPr>
      <w:bookmarkStart w:id="2" w:name="_Toc16588678"/>
      <w:bookmarkStart w:id="3" w:name="_Toc16588660"/>
      <w:r>
        <w:rPr>
          <w:rFonts w:hint="eastAsia"/>
        </w:rPr>
        <w:t>系统安全</w:t>
      </w:r>
      <w:bookmarkEnd w:id="2"/>
      <w:bookmarkEnd w:id="3"/>
    </w:p>
    <w:p>
      <w:pPr>
        <w:pStyle w:val="6"/>
      </w:pPr>
      <w:bookmarkStart w:id="4" w:name="_Toc16588679"/>
      <w:bookmarkStart w:id="5" w:name="_Toc16588661"/>
      <w:r>
        <w:rPr>
          <w:rFonts w:hint="eastAsia"/>
        </w:rPr>
        <w:t>网络总体构架</w:t>
      </w:r>
      <w:bookmarkEnd w:id="4"/>
      <w:bookmarkEnd w:id="5"/>
    </w:p>
    <w:p>
      <w:pPr>
        <w:ind w:firstLine="480"/>
      </w:pPr>
      <w:r>
        <w:rPr>
          <w:rFonts w:ascii="宋体" w:hAnsi="宋体" w:cs="宋体"/>
          <w:kern w:val="0"/>
        </w:rPr>
        <w:drawing>
          <wp:inline distT="0" distB="0" distL="0" distR="0">
            <wp:extent cx="4905375" cy="4152265"/>
            <wp:effectExtent l="0" t="0" r="0" b="635"/>
            <wp:docPr id="4" name="图片 4" descr="(40{$5C%78T7G`ORXF$L0D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40{$5C%78T7G`ORXF$L0D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a:xfrm>
                      <a:off x="0" y="0"/>
                      <a:ext cx="4920267" cy="4165040"/>
                    </a:xfrm>
                    <a:prstGeom prst="rect">
                      <a:avLst/>
                    </a:prstGeom>
                    <a:noFill/>
                    <a:ln>
                      <a:noFill/>
                    </a:ln>
                  </pic:spPr>
                </pic:pic>
              </a:graphicData>
            </a:graphic>
          </wp:inline>
        </w:drawing>
      </w:r>
    </w:p>
    <w:p>
      <w:pPr>
        <w:pStyle w:val="6"/>
      </w:pPr>
      <w:bookmarkStart w:id="6" w:name="_Toc16588662"/>
      <w:bookmarkStart w:id="7" w:name="_Toc16588680"/>
      <w:r>
        <w:rPr>
          <w:rFonts w:hint="eastAsia"/>
        </w:rPr>
        <w:t>安全总体设计</w:t>
      </w:r>
      <w:bookmarkEnd w:id="6"/>
      <w:bookmarkEnd w:id="7"/>
    </w:p>
    <w:p>
      <w:pPr>
        <w:ind w:firstLine="480"/>
      </w:pPr>
      <w:r>
        <w:rPr>
          <w:rFonts w:hint="eastAsia"/>
        </w:rPr>
        <w:t>按照信息安全等级的要求，省厅数据安全交换系统在安全保障体系建设上参照《信息安全技术信息系统安全等级保护基本要求（二级）》（以下简称“等保（二级）”）要求建设；网络安全上完成满足访问控制、安全审计、边界完整性检查、入侵防范等的技术要求。</w:t>
      </w:r>
    </w:p>
    <w:p>
      <w:pPr>
        <w:ind w:firstLine="480"/>
      </w:pPr>
      <w:r>
        <w:t>访问控制机制是信息系统中敏感信息保护的核心，依据《计算机信息系统安全保护等级划分准则》（GB17859-1999）（以下简称GB17859-1999），</w:t>
      </w:r>
      <w:r>
        <w:rPr>
          <w:rFonts w:hint="eastAsia"/>
        </w:rPr>
        <w:t>二</w:t>
      </w:r>
      <w:r>
        <w:t>级信息系统安全保护环境的设计策略，</w:t>
      </w:r>
      <w:r>
        <w:rPr>
          <w:rFonts w:hint="eastAsia"/>
        </w:rPr>
        <w:t>以</w:t>
      </w:r>
      <w:r>
        <w:t>身份鉴别为基础，</w:t>
      </w:r>
      <w:r>
        <w:rPr>
          <w:rFonts w:hint="eastAsia"/>
        </w:rPr>
        <w:t>同时</w:t>
      </w:r>
      <w:r>
        <w:t>实现“</w:t>
      </w:r>
      <w:r>
        <w:rPr>
          <w:rFonts w:hint="eastAsia"/>
        </w:rPr>
        <w:t>系统安全</w:t>
      </w:r>
      <w:r>
        <w:t>审计</w:t>
      </w:r>
      <w:r>
        <w:rPr>
          <w:rFonts w:hint="eastAsia"/>
        </w:rPr>
        <w:t>、</w:t>
      </w:r>
      <w:r>
        <w:t>客体安全重用</w:t>
      </w:r>
      <w:r>
        <w:rPr>
          <w:rFonts w:hint="eastAsia"/>
        </w:rPr>
        <w:t>功能，</w:t>
      </w:r>
      <w:r>
        <w:t>并实施以用户为基本粒度的自主访问控制等”的相关要求。 基于“一个中心支撑下的三重保障体系结构”的安全保护环境。由安全管理中心统一制定和下发访问控制策略，在安全计算环境、安全区域边界、安全通信网络实施统一的全程访问控制，阻止对非授权用户的访问行为以及授权用户的非授权访问行为。</w:t>
      </w:r>
    </w:p>
    <w:p>
      <w:pPr>
        <w:ind w:firstLine="480"/>
      </w:pPr>
      <w:r>
        <w:rPr>
          <w:rFonts w:hint="eastAsia"/>
        </w:rPr>
        <w:t>通过VPN通道，形成了校友分会信息管理系统办公网、郑州大学政务外网、互联网的互联的网络枢纽。</w:t>
      </w:r>
    </w:p>
    <w:p>
      <w:pPr>
        <w:ind w:firstLine="480"/>
      </w:pPr>
      <w:r>
        <w:rPr>
          <w:rFonts w:hint="eastAsia"/>
        </w:rPr>
        <w:t>互联网用户通过SSL VPN通道接入信息交换系统，通过用户认证后访问信息交换系统的授权应用，本系统用户具有特殊授权可以通过远程办公、远程审计访问校友会的后台管理系统和数据服务中心。</w:t>
      </w:r>
    </w:p>
    <w:p>
      <w:pPr>
        <w:ind w:firstLine="480"/>
      </w:pPr>
      <w:r>
        <w:rPr>
          <w:rFonts w:hint="eastAsia"/>
        </w:rPr>
        <w:t>信息交换系统应用，通过交换平台提供的数据目录、数据同步、信息发布、数据桥接等服务的支持，与校友会系统中的业务系统、数据中心实现应用交互和数据交换。</w:t>
      </w:r>
    </w:p>
    <w:p>
      <w:pPr>
        <w:ind w:firstLine="480"/>
      </w:pPr>
      <w:r>
        <w:rPr>
          <w:rFonts w:hint="eastAsia"/>
        </w:rPr>
        <w:t>信息网络系统安全是一项牵涉面广的系统工程。对于郑大校友分会信息管理系统网络系统来说，一个完整的安全体系，应当以整体安全策略为基础，在其上使用安全技术措施，建立相应的安全管理体系，实现对系统的安全保护。结合目前郑大校友分会信息管理系统安全体系现状，设计出以下整体安全体系。</w:t>
      </w:r>
    </w:p>
    <w:p>
      <w:pPr>
        <w:ind w:firstLine="480"/>
      </w:pPr>
      <w:r>
        <w:rPr>
          <w:rFonts w:hint="eastAsia"/>
        </w:rPr>
        <w:t>示意图如下：</w:t>
      </w:r>
    </w:p>
    <w:p>
      <w:pPr>
        <w:adjustRightInd w:val="0"/>
        <w:snapToGrid w:val="0"/>
        <w:ind w:firstLine="480"/>
        <w:jc w:val="center"/>
        <w:rPr>
          <w:rFonts w:ascii="宋体" w:hAnsi="宋体" w:cs="宋体"/>
        </w:rPr>
      </w:pPr>
      <w:r>
        <w:rPr>
          <w:rFonts w:ascii="宋体" w:hAnsi="宋体" w:cs="宋体"/>
        </w:rPr>
        <w:drawing>
          <wp:inline distT="0" distB="0" distL="0" distR="0">
            <wp:extent cx="4380865" cy="3371850"/>
            <wp:effectExtent l="0" t="0" r="635"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a:xfrm>
                      <a:off x="0" y="0"/>
                      <a:ext cx="4407772" cy="3392560"/>
                    </a:xfrm>
                    <a:prstGeom prst="rect">
                      <a:avLst/>
                    </a:prstGeom>
                    <a:noFill/>
                    <a:ln>
                      <a:noFill/>
                    </a:ln>
                  </pic:spPr>
                </pic:pic>
              </a:graphicData>
            </a:graphic>
          </wp:inline>
        </w:drawing>
      </w:r>
    </w:p>
    <w:p>
      <w:pPr>
        <w:ind w:firstLine="480"/>
        <w:rPr>
          <w:rFonts w:ascii="宋体" w:hAnsi="宋体" w:cs="仿宋"/>
        </w:rPr>
      </w:pPr>
      <w:r>
        <w:rPr>
          <w:rFonts w:hint="eastAsia" w:ascii="宋体" w:hAnsi="宋体" w:cs="仿宋"/>
        </w:rPr>
        <w:t>从上图可以看出，应按照</w:t>
      </w:r>
      <w:r>
        <w:rPr>
          <w:rFonts w:hint="eastAsia"/>
        </w:rPr>
        <w:t>郑州大学网路</w:t>
      </w:r>
      <w:r>
        <w:rPr>
          <w:rFonts w:hint="eastAsia" w:ascii="宋体" w:hAnsi="宋体" w:cs="仿宋"/>
        </w:rPr>
        <w:t>实际的安全现状，制定安全策略，采用相应的安全技术，制定恰当的安全管理制度。</w:t>
      </w:r>
    </w:p>
    <w:p>
      <w:pPr>
        <w:pStyle w:val="6"/>
      </w:pPr>
      <w:bookmarkStart w:id="8" w:name="_Toc16588663"/>
      <w:bookmarkStart w:id="9" w:name="_Toc16588681"/>
      <w:r>
        <w:rPr>
          <w:rFonts w:hint="eastAsia"/>
        </w:rPr>
        <w:t>整体安全策略</w:t>
      </w:r>
      <w:bookmarkEnd w:id="8"/>
      <w:bookmarkEnd w:id="9"/>
    </w:p>
    <w:p>
      <w:pPr>
        <w:ind w:firstLine="480"/>
      </w:pPr>
      <w:r>
        <w:rPr>
          <w:rFonts w:hint="eastAsia"/>
        </w:rPr>
        <w:t>安全策略是信息网络系统安全的核心，对信息网络系统的安全起着至关重要的作用。</w:t>
      </w:r>
    </w:p>
    <w:p>
      <w:pPr>
        <w:ind w:firstLine="480"/>
      </w:pPr>
      <w:r>
        <w:rPr>
          <w:rFonts w:hint="eastAsia"/>
        </w:rPr>
        <w:t>在郑大校友会的网络系统中，安全策略的制定，最核心的问题就是如何保证数字资源的安全共享。</w:t>
      </w:r>
    </w:p>
    <w:p>
      <w:pPr>
        <w:ind w:firstLine="480"/>
      </w:pPr>
      <w:r>
        <w:rPr>
          <w:rFonts w:hint="eastAsia"/>
        </w:rPr>
        <w:t>保证数字资源的安全共享，就是从权限分级设置的角度出发，确定校友的身份认证和访问控制。</w:t>
      </w:r>
    </w:p>
    <w:p>
      <w:pPr>
        <w:ind w:firstLine="480"/>
      </w:pPr>
      <w:r>
        <w:rPr>
          <w:rFonts w:hint="eastAsia"/>
        </w:rPr>
        <w:t>因此，应从各个安全要求出发，对信息系统进行安全保障，保障安全目的能够得到实施。在技术外，再辅以管理的加强，以制度化和技术化的管理，全面加强安全整体体系。</w:t>
      </w:r>
    </w:p>
    <w:p>
      <w:pPr>
        <w:ind w:firstLine="480"/>
      </w:pPr>
      <w:r>
        <w:rPr>
          <w:rFonts w:hint="eastAsia"/>
        </w:rPr>
        <w:t>因此郑大校友分会信息管理系统网路系统应该建立以下的安全策略：</w:t>
      </w:r>
    </w:p>
    <w:p>
      <w:pPr>
        <w:pStyle w:val="25"/>
        <w:numPr>
          <w:ilvl w:val="0"/>
          <w:numId w:val="5"/>
        </w:numPr>
        <w:ind w:firstLineChars="0"/>
        <w:rPr>
          <w:rFonts w:ascii="宋体" w:hAnsi="宋体" w:cs="仿宋"/>
        </w:rPr>
      </w:pPr>
      <w:r>
        <w:rPr>
          <w:rFonts w:hint="eastAsia" w:ascii="宋体" w:hAnsi="宋体" w:cs="仿宋"/>
        </w:rPr>
        <w:t>建立物理方面的安全防范措施；</w:t>
      </w:r>
    </w:p>
    <w:p>
      <w:pPr>
        <w:pStyle w:val="25"/>
        <w:numPr>
          <w:ilvl w:val="0"/>
          <w:numId w:val="5"/>
        </w:numPr>
        <w:ind w:firstLineChars="0"/>
        <w:rPr>
          <w:rFonts w:ascii="宋体" w:hAnsi="宋体" w:cs="仿宋"/>
        </w:rPr>
      </w:pPr>
      <w:r>
        <w:rPr>
          <w:rFonts w:hint="eastAsia" w:ascii="宋体" w:hAnsi="宋体" w:cs="仿宋"/>
        </w:rPr>
        <w:t>保密数据资料的有效存放和备份；</w:t>
      </w:r>
    </w:p>
    <w:p>
      <w:pPr>
        <w:pStyle w:val="25"/>
        <w:numPr>
          <w:ilvl w:val="0"/>
          <w:numId w:val="5"/>
        </w:numPr>
        <w:ind w:firstLineChars="0"/>
        <w:rPr>
          <w:rFonts w:ascii="宋体" w:hAnsi="宋体" w:cs="仿宋"/>
        </w:rPr>
      </w:pPr>
      <w:r>
        <w:rPr>
          <w:rFonts w:hint="eastAsia" w:ascii="宋体" w:hAnsi="宋体" w:cs="仿宋"/>
        </w:rPr>
        <w:t>具有抵御意外能力的安全运行环境；</w:t>
      </w:r>
    </w:p>
    <w:p>
      <w:pPr>
        <w:pStyle w:val="25"/>
        <w:numPr>
          <w:ilvl w:val="0"/>
          <w:numId w:val="5"/>
        </w:numPr>
        <w:ind w:firstLineChars="0"/>
        <w:rPr>
          <w:rFonts w:ascii="宋体" w:hAnsi="宋体" w:cs="仿宋"/>
        </w:rPr>
      </w:pPr>
      <w:r>
        <w:rPr>
          <w:rFonts w:hint="eastAsia" w:ascii="宋体" w:hAnsi="宋体" w:cs="仿宋"/>
        </w:rPr>
        <w:t>保密数据资料的受控共享，实现可靠的身份鉴别和访问控制；</w:t>
      </w:r>
    </w:p>
    <w:p>
      <w:pPr>
        <w:pStyle w:val="25"/>
        <w:numPr>
          <w:ilvl w:val="0"/>
          <w:numId w:val="5"/>
        </w:numPr>
        <w:ind w:firstLineChars="0"/>
        <w:rPr>
          <w:rFonts w:ascii="宋体" w:hAnsi="宋体" w:cs="仿宋"/>
        </w:rPr>
      </w:pPr>
      <w:r>
        <w:rPr>
          <w:rFonts w:hint="eastAsia" w:ascii="宋体" w:hAnsi="宋体" w:cs="仿宋"/>
        </w:rPr>
        <w:t>利用先进技术实现网络的监控、管理和审计；</w:t>
      </w:r>
    </w:p>
    <w:p>
      <w:pPr>
        <w:pStyle w:val="25"/>
        <w:numPr>
          <w:ilvl w:val="0"/>
          <w:numId w:val="5"/>
        </w:numPr>
        <w:ind w:firstLineChars="0"/>
        <w:rPr>
          <w:rFonts w:ascii="宋体" w:hAnsi="宋体" w:cs="仿宋"/>
        </w:rPr>
      </w:pPr>
      <w:r>
        <w:rPr>
          <w:rFonts w:hint="eastAsia" w:ascii="宋体" w:hAnsi="宋体" w:cs="仿宋"/>
        </w:rPr>
        <w:t>网络系统中有安全保障的协同工作机制：</w:t>
      </w:r>
    </w:p>
    <w:p>
      <w:pPr>
        <w:pStyle w:val="25"/>
        <w:numPr>
          <w:ilvl w:val="0"/>
          <w:numId w:val="5"/>
        </w:numPr>
        <w:ind w:firstLineChars="0"/>
        <w:rPr>
          <w:rFonts w:ascii="宋体" w:hAnsi="宋体" w:cs="仿宋"/>
        </w:rPr>
      </w:pPr>
      <w:r>
        <w:rPr>
          <w:rFonts w:hint="eastAsia" w:ascii="宋体" w:hAnsi="宋体" w:cs="仿宋"/>
        </w:rPr>
        <w:t>与上面各个方面相适应的配套管理制度。</w:t>
      </w:r>
    </w:p>
    <w:p>
      <w:pPr>
        <w:ind w:firstLine="480"/>
      </w:pPr>
      <w:r>
        <w:rPr>
          <w:rFonts w:hint="eastAsia"/>
        </w:rPr>
        <w:t>郑大校友分会信息管理系统的网络安全，就是基于以上安全策略，从技术和管理出发，采取安全技术措施和管理手段，实现安全体系的建立。</w:t>
      </w:r>
    </w:p>
    <w:p>
      <w:pPr>
        <w:pStyle w:val="6"/>
      </w:pPr>
      <w:bookmarkStart w:id="10" w:name="_Toc427163547"/>
      <w:bookmarkStart w:id="11" w:name="_Toc16588682"/>
      <w:bookmarkStart w:id="12" w:name="_Toc16588664"/>
      <w:bookmarkStart w:id="13" w:name="_Toc434330750"/>
      <w:r>
        <w:rPr>
          <w:rFonts w:hint="eastAsia"/>
        </w:rPr>
        <w:t>数据安全系统建设方案</w:t>
      </w:r>
      <w:bookmarkEnd w:id="10"/>
      <w:bookmarkEnd w:id="11"/>
      <w:bookmarkEnd w:id="12"/>
      <w:bookmarkEnd w:id="13"/>
    </w:p>
    <w:p>
      <w:pPr>
        <w:ind w:firstLine="480"/>
      </w:pPr>
      <w:r>
        <w:rPr>
          <w:rFonts w:hint="eastAsia"/>
        </w:rPr>
        <w:t>郑大校友分会信息管理系统最重要的是校友的信息录入与校友之间交流讨论。为了充分保障数据的安全，应采用双机热备及移动硬盘备份的方式对系统数据进行保护。</w:t>
      </w:r>
    </w:p>
    <w:p>
      <w:pPr>
        <w:pStyle w:val="8"/>
      </w:pPr>
      <w:r>
        <w:rPr>
          <w:rFonts w:hint="eastAsia"/>
        </w:rPr>
        <w:t>双机热备</w:t>
      </w:r>
    </w:p>
    <w:p>
      <w:pPr>
        <w:ind w:firstLine="480"/>
      </w:pPr>
      <w:r>
        <w:rPr>
          <w:rFonts w:hint="eastAsia"/>
        </w:rPr>
        <w:t>随着科技的进步，存储热备已经进入了成熟及快速发展阶段，双机热备也随着技术的进步，进入到了没有单点故障的全冗余双机热备方式。因此，校友会管理系统将采用双机热备的方式对系统的数据进行恢复。如下图：</w:t>
      </w:r>
    </w:p>
    <w:p>
      <w:pPr>
        <w:pStyle w:val="11"/>
        <w:spacing w:before="163" w:line="360" w:lineRule="auto"/>
        <w:ind w:firstLine="480"/>
        <w:jc w:val="center"/>
        <w:rPr>
          <w:rFonts w:ascii="宋体" w:hAnsi="宋体" w:eastAsia="宋体"/>
          <w:sz w:val="24"/>
          <w:szCs w:val="24"/>
        </w:rPr>
      </w:pPr>
      <w:r>
        <w:rPr>
          <w:rFonts w:ascii="宋体" w:hAnsi="宋体" w:eastAsia="宋体"/>
          <w:sz w:val="24"/>
          <w:szCs w:val="24"/>
        </w:rPr>
        <w:drawing>
          <wp:inline distT="0" distB="0" distL="0" distR="0">
            <wp:extent cx="3295650" cy="2085975"/>
            <wp:effectExtent l="0" t="0" r="0" b="9525"/>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a:xfrm>
                      <a:off x="0" y="0"/>
                      <a:ext cx="3295650" cy="2085975"/>
                    </a:xfrm>
                    <a:prstGeom prst="rect">
                      <a:avLst/>
                    </a:prstGeom>
                    <a:noFill/>
                    <a:ln>
                      <a:noFill/>
                    </a:ln>
                  </pic:spPr>
                </pic:pic>
              </a:graphicData>
            </a:graphic>
          </wp:inline>
        </w:drawing>
      </w:r>
    </w:p>
    <w:p>
      <w:pPr>
        <w:ind w:firstLine="480"/>
      </w:pPr>
      <w:r>
        <w:rPr>
          <w:rFonts w:hint="eastAsia"/>
        </w:rPr>
        <w:t>这种方式的特点在于：</w:t>
      </w:r>
    </w:p>
    <w:p>
      <w:pPr>
        <w:pStyle w:val="25"/>
        <w:numPr>
          <w:ilvl w:val="0"/>
          <w:numId w:val="6"/>
        </w:numPr>
        <w:ind w:firstLineChars="0"/>
        <w:jc w:val="left"/>
        <w:rPr>
          <w:rFonts w:ascii="宋体" w:hAnsi="宋体"/>
        </w:rPr>
      </w:pPr>
      <w:r>
        <w:rPr>
          <w:rFonts w:hint="eastAsia"/>
        </w:rPr>
        <w:t>校友分会信息管理</w:t>
      </w:r>
      <w:r>
        <w:rPr>
          <w:rFonts w:hint="eastAsia" w:ascii="宋体" w:hAnsi="宋体"/>
        </w:rPr>
        <w:t>系统上存储的校友个人资料和捐赠数据资料等数据不经过</w:t>
      </w:r>
      <w:r>
        <w:rPr>
          <w:rFonts w:hint="eastAsia"/>
        </w:rPr>
        <w:t>校友分会信息管理系统</w:t>
      </w:r>
      <w:r>
        <w:rPr>
          <w:rFonts w:hint="eastAsia" w:ascii="宋体" w:hAnsi="宋体"/>
        </w:rPr>
        <w:t>内网网络，而是由服务器的存储硬盘之间进行复制。</w:t>
      </w:r>
    </w:p>
    <w:p>
      <w:pPr>
        <w:pStyle w:val="25"/>
        <w:numPr>
          <w:ilvl w:val="0"/>
          <w:numId w:val="6"/>
        </w:numPr>
        <w:ind w:firstLineChars="0"/>
        <w:jc w:val="left"/>
        <w:rPr>
          <w:rFonts w:ascii="宋体" w:hAnsi="宋体"/>
        </w:rPr>
      </w:pPr>
      <w:r>
        <w:rPr>
          <w:rFonts w:hint="eastAsia"/>
        </w:rPr>
        <w:t>校友分会信息管理</w:t>
      </w:r>
      <w:r>
        <w:rPr>
          <w:rFonts w:hint="eastAsia" w:ascii="宋体" w:hAnsi="宋体"/>
        </w:rPr>
        <w:t>系统存储的各项数据之间的复制是完全实时的，不存在时间延时。校友会系统数据库之间的切换时间小于500ms，以确保系统数据存储时不发生延时。</w:t>
      </w:r>
    </w:p>
    <w:p>
      <w:pPr>
        <w:pStyle w:val="25"/>
        <w:numPr>
          <w:ilvl w:val="0"/>
          <w:numId w:val="6"/>
        </w:numPr>
        <w:ind w:firstLineChars="0"/>
        <w:jc w:val="left"/>
        <w:rPr>
          <w:rFonts w:ascii="宋体" w:hAnsi="宋体"/>
        </w:rPr>
      </w:pPr>
      <w:r>
        <w:rPr>
          <w:rFonts w:hint="eastAsia" w:ascii="宋体" w:hAnsi="宋体"/>
        </w:rPr>
        <w:t>服务器硬盘盘符及分区不因为主备存储之间的切换而改变。</w:t>
      </w:r>
    </w:p>
    <w:p>
      <w:pPr>
        <w:pStyle w:val="25"/>
        <w:numPr>
          <w:ilvl w:val="0"/>
          <w:numId w:val="6"/>
        </w:numPr>
        <w:ind w:firstLineChars="0"/>
        <w:jc w:val="left"/>
        <w:rPr>
          <w:rFonts w:ascii="宋体" w:hAnsi="宋体"/>
        </w:rPr>
      </w:pPr>
      <w:r>
        <w:rPr>
          <w:rFonts w:hint="eastAsia" w:ascii="宋体" w:hAnsi="宋体"/>
        </w:rPr>
        <w:t>服务器的切换，不影响存储之间的初始化、增量同步及数据复制。比如说新增的数据信息，就可以及时在热备的服务器上复制出来，以便硬件出现故障时及时恢复。</w:t>
      </w:r>
    </w:p>
    <w:p>
      <w:pPr>
        <w:pStyle w:val="25"/>
        <w:numPr>
          <w:ilvl w:val="0"/>
          <w:numId w:val="6"/>
        </w:numPr>
        <w:ind w:firstLineChars="0"/>
        <w:jc w:val="left"/>
        <w:rPr>
          <w:rFonts w:ascii="宋体" w:hAnsi="宋体"/>
        </w:rPr>
      </w:pPr>
      <w:r>
        <w:rPr>
          <w:rFonts w:hint="eastAsia" w:ascii="宋体" w:hAnsi="宋体"/>
        </w:rPr>
        <w:t>存放数据库的存储设备的计划性停机，不影响整个服务器双机热备系统的工作。</w:t>
      </w:r>
    </w:p>
    <w:p>
      <w:pPr>
        <w:pStyle w:val="25"/>
        <w:numPr>
          <w:ilvl w:val="0"/>
          <w:numId w:val="6"/>
        </w:numPr>
        <w:ind w:firstLineChars="0"/>
        <w:jc w:val="left"/>
        <w:rPr>
          <w:rFonts w:ascii="宋体" w:hAnsi="宋体"/>
        </w:rPr>
      </w:pPr>
      <w:r>
        <w:rPr>
          <w:rFonts w:hint="eastAsia" w:ascii="宋体" w:hAnsi="宋体"/>
        </w:rPr>
        <w:t>存储设备之间使用重复数据删除技术，完成增量同步工作。</w:t>
      </w:r>
    </w:p>
    <w:p>
      <w:pPr>
        <w:pStyle w:val="25"/>
        <w:numPr>
          <w:ilvl w:val="0"/>
          <w:numId w:val="6"/>
        </w:numPr>
        <w:ind w:firstLineChars="0"/>
        <w:jc w:val="left"/>
        <w:rPr>
          <w:rFonts w:ascii="宋体" w:hAnsi="宋体"/>
        </w:rPr>
      </w:pPr>
      <w:r>
        <w:rPr>
          <w:rFonts w:hint="eastAsia" w:ascii="宋体" w:hAnsi="宋体"/>
        </w:rPr>
        <w:t>真正的7×24小时或切换的全冗余方案。</w:t>
      </w:r>
    </w:p>
    <w:p>
      <w:pPr>
        <w:ind w:firstLine="480"/>
      </w:pPr>
      <w:r>
        <w:rPr>
          <w:rFonts w:hint="eastAsia"/>
        </w:rPr>
        <w:t>热备份可以时刻保障校友分会信息管理系统的连续性，不因硬件的故障而影响到校友分会信息管理系统的运行。同时，采用人工移动硬盘的备份方式对数据定期进行备份。</w:t>
      </w:r>
    </w:p>
    <w:p>
      <w:pPr>
        <w:pStyle w:val="8"/>
      </w:pPr>
      <w:r>
        <w:rPr>
          <w:rFonts w:hint="eastAsia"/>
        </w:rPr>
        <w:t>负载均衡</w:t>
      </w:r>
    </w:p>
    <w:p>
      <w:pPr>
        <w:ind w:firstLine="480"/>
      </w:pPr>
      <w:r>
        <w:rPr>
          <w:rFonts w:hint="eastAsia"/>
        </w:rPr>
        <w:t>本案中采用本地负载均衡技术，对本地服务器群进行负载均衡处理。该技术通过对服务器进行性能优化，使流量能够平均分配在服务器群中的各个服务器上，解决网络拥塞问题，提高服务器响应速度。</w:t>
      </w:r>
    </w:p>
    <w:p>
      <w:pPr>
        <w:ind w:firstLine="480"/>
      </w:pPr>
      <w:r>
        <w:rPr>
          <w:rFonts w:hint="eastAsia"/>
        </w:rPr>
        <w:t>在面对较多校友同时使用校友分会信息管理系统进行友好交流时，传统的一台服务器可能会出现反应速度过慢，响应时间过长，让用户出现不必要的等待时间；为了解决这样的问题，校友分会信息管理系统使用负载均衡处理在某些时刻会比较巨量的流量。在校友会数据量过大，一台服务器无法完全处理时，负载均衡就会协调这些数据量，将一些数据转移到其他备用服务器，用来及时处理用户的数据，这样在大流量时刻，就可以缓解等待时间过长问题。</w:t>
      </w:r>
    </w:p>
    <w:p>
      <w:pPr>
        <w:ind w:firstLine="480"/>
      </w:pPr>
      <w:r>
        <w:rPr>
          <w:rFonts w:hint="eastAsia"/>
        </w:rPr>
        <w:t>具体部署情况如下：</w:t>
      </w:r>
    </w:p>
    <w:p>
      <w:pPr>
        <w:ind w:firstLine="480"/>
      </w:pPr>
      <w:r>
        <w:rPr>
          <w:rFonts w:hint="eastAsia"/>
        </w:rPr>
        <w:t>部署一台负载均衡，采用均衡策略把数据流量合理地分配给服务器群内的服务器共同负担，缓解因用户访问量过大对服务器服务、网络资源造成压力，提高服务器响应速度。</w:t>
      </w:r>
    </w:p>
    <w:p>
      <w:pPr>
        <w:pStyle w:val="8"/>
      </w:pPr>
      <w:r>
        <w:rPr>
          <w:rFonts w:hint="eastAsia"/>
        </w:rPr>
        <w:t>防火墙</w:t>
      </w:r>
    </w:p>
    <w:p>
      <w:pPr>
        <w:ind w:firstLine="480"/>
      </w:pPr>
      <w:r>
        <w:rPr>
          <w:rFonts w:hint="eastAsia"/>
        </w:rPr>
        <w:t>防火墙是边界/区域保护的基本手段，是保障网络安全的必须采用的方法之一。根据对信息系统的安全域和安全子域的保护要求，在相应的安全域和安全子域中均要使用防火墙实现各个安全域的边界保护。</w:t>
      </w:r>
    </w:p>
    <w:p>
      <w:pPr>
        <w:pStyle w:val="8"/>
      </w:pPr>
      <w:r>
        <w:rPr>
          <w:rFonts w:hint="eastAsia"/>
        </w:rPr>
        <w:t>服务器区边界</w:t>
      </w:r>
    </w:p>
    <w:p>
      <w:pPr>
        <w:ind w:firstLine="480"/>
      </w:pPr>
      <w:r>
        <w:rPr>
          <w:rFonts w:hint="eastAsia"/>
        </w:rPr>
        <w:t>通过在服务器区与核心交换区边界部署防火墙设备来保护本区域的安全，只针对所提供必须的应用服务端口，其他所有端口和服务，均利用访问控制列表进行过滤。</w:t>
      </w:r>
    </w:p>
    <w:p>
      <w:pPr>
        <w:pStyle w:val="8"/>
      </w:pPr>
      <w:r>
        <w:rPr>
          <w:rFonts w:hint="eastAsia"/>
        </w:rPr>
        <w:t>办公区边界</w:t>
      </w:r>
    </w:p>
    <w:p>
      <w:pPr>
        <w:ind w:firstLine="480"/>
      </w:pPr>
      <w:r>
        <w:rPr>
          <w:rFonts w:hint="eastAsia"/>
        </w:rPr>
        <w:t>通过在办公区边界部署防火墙设备来对进出办公区的行为进行检查，只针对所提供必须的应用服务端口，其他所有端口和服务，均利用访问控制列表进行过滤，在办公区用户终端不成为被攻击对象同时，也能有效地抑制以办公区终端为跳板攻击其他区域的威胁。</w:t>
      </w:r>
    </w:p>
    <w:p>
      <w:pPr>
        <w:pStyle w:val="6"/>
      </w:pPr>
      <w:bookmarkStart w:id="14" w:name="_Toc16588683"/>
      <w:bookmarkStart w:id="15" w:name="_Toc16588665"/>
      <w:r>
        <w:rPr>
          <w:rFonts w:hint="eastAsia"/>
        </w:rPr>
        <w:t>网络及安全接线图</w:t>
      </w:r>
      <w:bookmarkEnd w:id="14"/>
      <w:bookmarkEnd w:id="15"/>
    </w:p>
    <w:p>
      <w:pPr>
        <w:pStyle w:val="29"/>
        <w:spacing w:line="360" w:lineRule="auto"/>
        <w:ind w:left="-24" w:leftChars="-85" w:hanging="180" w:hangingChars="75"/>
        <w:rPr>
          <w:rFonts w:ascii="宋体" w:hAnsi="宋体"/>
        </w:rPr>
      </w:pPr>
      <w:r>
        <w:rPr>
          <w:rFonts w:ascii="宋体" w:hAnsi="宋体"/>
        </w:rPr>
        <w:drawing>
          <wp:inline distT="0" distB="0" distL="0" distR="0">
            <wp:extent cx="5218430" cy="3209925"/>
            <wp:effectExtent l="0" t="0" r="127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a:xfrm>
                      <a:off x="0" y="0"/>
                      <a:ext cx="5224419" cy="3213306"/>
                    </a:xfrm>
                    <a:prstGeom prst="rect">
                      <a:avLst/>
                    </a:prstGeom>
                    <a:noFill/>
                    <a:ln>
                      <a:noFill/>
                    </a:ln>
                  </pic:spPr>
                </pic:pic>
              </a:graphicData>
            </a:graphic>
          </wp:inline>
        </w:drawing>
      </w:r>
    </w:p>
    <w:p>
      <w:pPr>
        <w:pStyle w:val="29"/>
        <w:spacing w:line="360" w:lineRule="auto"/>
        <w:ind w:left="-24" w:leftChars="-85" w:hanging="180" w:hangingChars="75"/>
        <w:rPr>
          <w:rFonts w:ascii="宋体" w:hAnsi="宋体"/>
        </w:rPr>
      </w:pPr>
    </w:p>
    <w:p>
      <w:pPr>
        <w:pStyle w:val="29"/>
        <w:spacing w:line="360" w:lineRule="auto"/>
        <w:ind w:left="-24" w:leftChars="-85" w:hanging="180" w:hangingChars="75"/>
        <w:rPr>
          <w:rFonts w:ascii="宋体" w:hAnsi="宋体"/>
        </w:rPr>
      </w:pPr>
    </w:p>
    <w:p>
      <w:pPr>
        <w:pStyle w:val="29"/>
        <w:spacing w:line="360" w:lineRule="auto"/>
        <w:ind w:left="-24" w:leftChars="-85" w:hanging="180" w:hangingChars="75"/>
        <w:rPr>
          <w:rFonts w:ascii="宋体" w:hAnsi="宋体"/>
        </w:rPr>
      </w:pPr>
    </w:p>
    <w:p>
      <w:pPr>
        <w:pStyle w:val="29"/>
        <w:spacing w:line="360" w:lineRule="auto"/>
        <w:ind w:left="-24" w:leftChars="-85" w:hanging="180" w:hangingChars="75"/>
        <w:rPr>
          <w:rFonts w:ascii="宋体" w:hAnsi="宋体"/>
        </w:rPr>
      </w:pPr>
    </w:p>
    <w:p>
      <w:pPr>
        <w:pStyle w:val="5"/>
      </w:pPr>
      <w:bookmarkStart w:id="16" w:name="_Toc16588684"/>
      <w:bookmarkStart w:id="17" w:name="_Toc16588666"/>
      <w:r>
        <w:rPr>
          <w:rFonts w:hint="eastAsia"/>
        </w:rPr>
        <w:t>实施阶段</w:t>
      </w:r>
      <w:bookmarkEnd w:id="16"/>
      <w:bookmarkEnd w:id="17"/>
    </w:p>
    <w:p>
      <w:pPr>
        <w:spacing w:line="480" w:lineRule="atLeast"/>
        <w:ind w:firstLine="480"/>
        <w:rPr>
          <w:rFonts w:ascii="宋体" w:hAnsi="宋体"/>
          <w:szCs w:val="24"/>
        </w:rPr>
      </w:pPr>
      <w:r>
        <w:rPr>
          <w:rFonts w:hint="eastAsia" w:ascii="宋体" w:hAnsi="宋体"/>
          <w:szCs w:val="24"/>
        </w:rPr>
        <w:t>郑大</w:t>
      </w:r>
      <w:r>
        <w:rPr>
          <w:rFonts w:hint="eastAsia"/>
        </w:rPr>
        <w:t>校友分会信息管理系统</w:t>
      </w:r>
      <w:r>
        <w:rPr>
          <w:rFonts w:hint="eastAsia" w:ascii="宋体" w:hAnsi="宋体"/>
          <w:szCs w:val="24"/>
        </w:rPr>
        <w:t>作为一个服务类网站，必须立足于学校现有条件，利用现有现代互联网优势建立学生与学校之间的桥梁。郑大</w:t>
      </w:r>
      <w:r>
        <w:rPr>
          <w:rFonts w:hint="eastAsia"/>
        </w:rPr>
        <w:t>校友分会信息管理系统</w:t>
      </w:r>
      <w:r>
        <w:rPr>
          <w:rFonts w:hint="eastAsia" w:ascii="宋体" w:hAnsi="宋体"/>
          <w:szCs w:val="24"/>
        </w:rPr>
        <w:t>的上线实施需要不同阶段的测试和不同时段的对应的部署方法。</w:t>
      </w:r>
    </w:p>
    <w:p>
      <w:pPr>
        <w:spacing w:line="480" w:lineRule="atLeast"/>
        <w:ind w:firstLine="480"/>
        <w:rPr>
          <w:rFonts w:ascii="宋体" w:hAnsi="宋体"/>
          <w:szCs w:val="24"/>
        </w:rPr>
      </w:pPr>
      <w:r>
        <w:rPr>
          <w:rFonts w:hint="eastAsia" w:ascii="宋体" w:hAnsi="宋体"/>
          <w:szCs w:val="24"/>
        </w:rPr>
        <w:t>以下是暂定的计划校友会试部署及实施阶段的工作计划内容：</w:t>
      </w:r>
    </w:p>
    <w:p>
      <w:pPr>
        <w:spacing w:line="480" w:lineRule="atLeast"/>
        <w:ind w:firstLine="480"/>
        <w:rPr>
          <w:rFonts w:ascii="宋体" w:hAnsi="宋体"/>
          <w:szCs w:val="24"/>
        </w:rPr>
      </w:pPr>
    </w:p>
    <w:p>
      <w:pPr>
        <w:ind w:firstLine="480"/>
      </w:pPr>
    </w:p>
    <w:p>
      <w:pPr>
        <w:ind w:firstLine="480"/>
      </w:pPr>
    </w:p>
    <w:p>
      <w:pPr>
        <w:pStyle w:val="5"/>
        <w:numPr>
          <w:ilvl w:val="0"/>
          <w:numId w:val="0"/>
        </w:numPr>
      </w:pPr>
      <w:r>
        <w:rPr>
          <w:rFonts w:hint="eastAsia" w:ascii="宋体" w:hAnsi="宋体" w:eastAsia="宋体" w:cs="宋体"/>
        </w:rPr>
        <w:t>3.1项目组织架构</w:t>
      </w:r>
    </w:p>
    <w:p>
      <w:pPr>
        <w:pStyle w:val="3"/>
        <w:tabs>
          <w:tab w:val="left" w:pos="426"/>
        </w:tabs>
        <w:spacing w:line="276" w:lineRule="auto"/>
        <w:ind w:right="-58" w:rightChars="-24" w:firstLine="472"/>
      </w:pPr>
      <w:r>
        <w:rPr>
          <w:rFonts w:hint="eastAsia"/>
          <w:spacing w:val="-2"/>
        </w:rPr>
        <w:tab/>
      </w:r>
      <w:r>
        <w:rPr>
          <w:rFonts w:hint="eastAsia"/>
          <w:szCs w:val="22"/>
        </w:rPr>
        <w:t>校友分会信息管理</w:t>
      </w:r>
      <w:r>
        <w:rPr>
          <w:rFonts w:hint="eastAsia"/>
        </w:rPr>
        <w:t>系统</w:t>
      </w:r>
      <w:r>
        <w:rPr>
          <w:spacing w:val="-2"/>
        </w:rPr>
        <w:t xml:space="preserve">的建设不仅仅是一个单纯的 </w:t>
      </w:r>
      <w:r>
        <w:t>IT</w:t>
      </w:r>
      <w:r>
        <w:rPr>
          <w:spacing w:val="-3"/>
        </w:rPr>
        <w:t xml:space="preserve"> 项目的实施，涉及到公司各层管理的各个</w:t>
      </w:r>
      <w:r>
        <w:rPr>
          <w:spacing w:val="-9"/>
        </w:rPr>
        <w:t>方面，需要上至公司高层领导下到基层业务人员的大力配合。因此，对于自身队伍的建设也</w:t>
      </w:r>
      <w:r>
        <w:rPr>
          <w:spacing w:val="-12"/>
        </w:rPr>
        <w:t>应该有一个全局规划。全局规划不仅要对项目实施队伍做出规划，同时还要对项目后续的推广部署和功能的增强完善所需要的资源做出规划。我们建议实施队伍建立按照以下法则进</w:t>
      </w:r>
      <w:r>
        <w:t>行。</w:t>
      </w:r>
    </w:p>
    <w:p>
      <w:pPr>
        <w:tabs>
          <w:tab w:val="left" w:pos="426"/>
        </w:tabs>
        <w:spacing w:line="276" w:lineRule="auto"/>
        <w:ind w:right="-58" w:rightChars="-24" w:firstLine="422"/>
        <w:rPr>
          <w:b/>
          <w:sz w:val="21"/>
        </w:rPr>
      </w:pPr>
      <w:r>
        <w:rPr>
          <w:b/>
          <w:sz w:val="21"/>
        </w:rPr>
        <w:t>项目总体组织架构</w:t>
      </w:r>
    </w:p>
    <w:p>
      <w:pPr>
        <w:tabs>
          <w:tab w:val="left" w:pos="426"/>
        </w:tabs>
        <w:spacing w:line="276" w:lineRule="auto"/>
        <w:ind w:right="-58" w:rightChars="-24" w:firstLine="480"/>
        <w:jc w:val="center"/>
      </w:pPr>
      <w:r>
        <w:rPr>
          <w:rFonts w:hint="eastAsia"/>
        </w:rPr>
        <w:drawing>
          <wp:inline distT="0" distB="0" distL="0" distR="0">
            <wp:extent cx="4514215" cy="3190240"/>
            <wp:effectExtent l="0" t="0" r="635" b="10160"/>
            <wp:docPr id="1082" name="图片 10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2" name="图片 1082"/>
                    <pic:cNvPicPr>
                      <a:picLocks noChangeAspect="1"/>
                    </pic:cNvPicPr>
                  </pic:nvPicPr>
                  <pic:blipFill>
                    <a:blip r:embed="rId16">
                      <a:extLst>
                        <a:ext uri="{28A0092B-C50C-407E-A947-70E740481C1C}">
                          <a14:useLocalDpi xmlns:a14="http://schemas.microsoft.com/office/drawing/2010/main" val="0"/>
                        </a:ext>
                      </a:extLst>
                    </a:blip>
                    <a:stretch>
                      <a:fillRect/>
                    </a:stretch>
                  </pic:blipFill>
                  <pic:spPr>
                    <a:xfrm>
                      <a:off x="0" y="0"/>
                      <a:ext cx="4514286" cy="3190476"/>
                    </a:xfrm>
                    <a:prstGeom prst="rect">
                      <a:avLst/>
                    </a:prstGeom>
                  </pic:spPr>
                </pic:pic>
              </a:graphicData>
            </a:graphic>
          </wp:inline>
        </w:drawing>
      </w:r>
    </w:p>
    <w:p>
      <w:pPr>
        <w:pStyle w:val="3"/>
        <w:tabs>
          <w:tab w:val="left" w:pos="426"/>
        </w:tabs>
        <w:spacing w:line="276" w:lineRule="auto"/>
        <w:ind w:right="-58" w:rightChars="-24" w:firstLine="448"/>
      </w:pPr>
      <w:r>
        <w:rPr>
          <w:rFonts w:hint="eastAsia"/>
          <w:spacing w:val="-8"/>
        </w:rPr>
        <w:tab/>
      </w:r>
      <w:r>
        <w:rPr>
          <w:spacing w:val="-8"/>
        </w:rPr>
        <w:t>本项目实施团队由</w:t>
      </w:r>
      <w:r>
        <w:rPr>
          <w:rFonts w:hint="eastAsia"/>
          <w:spacing w:val="-8"/>
        </w:rPr>
        <w:t>河南</w:t>
      </w:r>
      <w:r>
        <w:rPr>
          <w:rFonts w:hint="eastAsia"/>
          <w:spacing w:val="-3"/>
        </w:rPr>
        <w:t>郑州大学</w:t>
      </w:r>
      <w:r>
        <w:rPr>
          <w:spacing w:val="-8"/>
        </w:rPr>
        <w:t>、</w:t>
      </w:r>
      <w:r>
        <w:rPr>
          <w:rFonts w:hint="eastAsia"/>
          <w:spacing w:val="-8"/>
        </w:rPr>
        <w:t>河南正易云信息技术有限公司</w:t>
      </w:r>
      <w:r>
        <w:rPr>
          <w:spacing w:val="-8"/>
        </w:rPr>
        <w:t>双方人员共同组成，项目不同阶段各成员在</w:t>
      </w:r>
      <w:r>
        <w:rPr>
          <w:spacing w:val="-5"/>
        </w:rPr>
        <w:t>组织结构图中的职责重心略有不同。</w:t>
      </w:r>
      <w:r>
        <w:rPr>
          <w:rFonts w:hint="eastAsia"/>
          <w:spacing w:val="-5"/>
        </w:rPr>
        <w:t>河南</w:t>
      </w:r>
      <w:r>
        <w:rPr>
          <w:rFonts w:hint="eastAsia"/>
          <w:spacing w:val="-3"/>
        </w:rPr>
        <w:t>郑州大学</w:t>
      </w:r>
      <w:r>
        <w:rPr>
          <w:spacing w:val="-5"/>
        </w:rPr>
        <w:t>主要负责提供项目需求、业务流程、</w:t>
      </w:r>
      <w:r>
        <w:rPr>
          <w:spacing w:val="-4"/>
        </w:rPr>
        <w:t>数据来源和内部交流工作；</w:t>
      </w:r>
      <w:r>
        <w:rPr>
          <w:rFonts w:hint="eastAsia"/>
          <w:spacing w:val="-8"/>
        </w:rPr>
        <w:t>河南正易云信息技术有限公司</w:t>
      </w:r>
      <w:r>
        <w:rPr>
          <w:spacing w:val="-4"/>
        </w:rPr>
        <w:t>负责项目具体实施工作，并定期汇报项目进展情况。</w:t>
      </w:r>
    </w:p>
    <w:p>
      <w:pPr>
        <w:pStyle w:val="5"/>
        <w:numPr>
          <w:ilvl w:val="0"/>
          <w:numId w:val="0"/>
        </w:numPr>
        <w:rPr>
          <w:rFonts w:ascii="宋体" w:hAnsi="宋体" w:eastAsia="宋体" w:cs="宋体"/>
        </w:rPr>
      </w:pPr>
      <w:r>
        <w:rPr>
          <w:rFonts w:hint="eastAsia" w:ascii="宋体" w:hAnsi="宋体" w:eastAsia="宋体" w:cs="宋体"/>
        </w:rPr>
        <w:t>3.2</w:t>
      </w:r>
      <w:r>
        <w:rPr>
          <w:rFonts w:ascii="宋体" w:hAnsi="宋体" w:eastAsia="宋体" w:cs="宋体"/>
        </w:rPr>
        <w:t>项目阶段实施内容</w:t>
      </w:r>
    </w:p>
    <w:p>
      <w:pPr>
        <w:spacing w:line="480" w:lineRule="atLeast"/>
        <w:ind w:firstLine="480"/>
        <w:rPr>
          <w:rFonts w:ascii="宋体" w:hAnsi="宋体"/>
          <w:szCs w:val="24"/>
        </w:rPr>
      </w:pPr>
      <w:r>
        <w:rPr>
          <w:rFonts w:hint="eastAsia"/>
        </w:rPr>
        <w:t>校友分会信息管理系统</w:t>
      </w:r>
      <w:r>
        <w:rPr>
          <w:rFonts w:hint="eastAsia" w:ascii="宋体" w:hAnsi="宋体"/>
          <w:szCs w:val="24"/>
        </w:rPr>
        <w:t>作为一个服务类网站，必须立足于学校现有条件，利用现有现代互联网优势建立学生与学校之间的桥梁。</w:t>
      </w:r>
      <w:r>
        <w:rPr>
          <w:rFonts w:hint="eastAsia"/>
        </w:rPr>
        <w:t>校友分会信息管理系统</w:t>
      </w:r>
      <w:r>
        <w:rPr>
          <w:rFonts w:hint="eastAsia" w:ascii="宋体" w:hAnsi="宋体"/>
          <w:szCs w:val="24"/>
        </w:rPr>
        <w:t>的上线实施需要不同阶段的测试和不同时段的对应的部署方法。</w:t>
      </w:r>
    </w:p>
    <w:p>
      <w:pPr>
        <w:spacing w:line="480" w:lineRule="atLeast"/>
        <w:ind w:firstLine="480"/>
        <w:rPr>
          <w:rFonts w:ascii="宋体" w:hAnsi="宋体"/>
          <w:szCs w:val="24"/>
        </w:rPr>
      </w:pPr>
      <w:r>
        <w:rPr>
          <w:rFonts w:hint="eastAsia" w:ascii="宋体" w:hAnsi="宋体"/>
          <w:szCs w:val="24"/>
        </w:rPr>
        <w:t>以下是暂定的计划</w:t>
      </w:r>
      <w:r>
        <w:rPr>
          <w:rFonts w:hint="eastAsia"/>
        </w:rPr>
        <w:t>校友分会信息管理系统</w:t>
      </w:r>
      <w:r>
        <w:rPr>
          <w:rFonts w:hint="eastAsia" w:ascii="宋体" w:hAnsi="宋体"/>
          <w:szCs w:val="24"/>
        </w:rPr>
        <w:t>部署及实施阶段的工作计划内容：</w:t>
      </w:r>
    </w:p>
    <w:p>
      <w:pPr>
        <w:ind w:firstLine="480"/>
      </w:pPr>
    </w:p>
    <w:p>
      <w:pPr>
        <w:pStyle w:val="6"/>
        <w:numPr>
          <w:ilvl w:val="0"/>
          <w:numId w:val="0"/>
        </w:numPr>
        <w:ind w:left="420"/>
      </w:pPr>
      <w:r>
        <w:rPr>
          <w:rFonts w:hint="eastAsia"/>
        </w:rPr>
        <w:t>1.实施阶段</w:t>
      </w:r>
    </w:p>
    <w:tbl>
      <w:tblPr>
        <w:tblStyle w:val="34"/>
        <w:tblW w:w="8204" w:type="dxa"/>
        <w:tblInd w:w="0" w:type="dxa"/>
        <w:tblBorders>
          <w:top w:val="single" w:color="7E7E7E" w:themeColor="text1" w:themeTint="80" w:sz="4" w:space="0"/>
          <w:left w:val="none" w:color="auto" w:sz="0" w:space="0"/>
          <w:bottom w:val="single" w:color="7E7E7E" w:themeColor="text1" w:themeTint="80"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2734"/>
        <w:gridCol w:w="2307"/>
        <w:gridCol w:w="3163"/>
      </w:tblGrid>
      <w:tr>
        <w:tblPrEx>
          <w:tblBorders>
            <w:top w:val="single" w:color="7E7E7E" w:themeColor="text1" w:themeTint="80" w:sz="4" w:space="0"/>
            <w:left w:val="none" w:color="auto" w:sz="0" w:space="0"/>
            <w:bottom w:val="single" w:color="7E7E7E" w:themeColor="text1" w:themeTint="80"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3" w:hRule="atLeast"/>
        </w:trPr>
        <w:tc>
          <w:tcPr>
            <w:tcW w:w="2734" w:type="dxa"/>
            <w:tcBorders>
              <w:bottom w:val="single" w:color="7E7E7E" w:themeColor="text1" w:themeTint="80" w:sz="4" w:space="0"/>
              <w:insideH w:val="single" w:sz="4" w:space="0"/>
            </w:tcBorders>
          </w:tcPr>
          <w:p>
            <w:pPr>
              <w:ind w:firstLine="0" w:firstLineChars="0"/>
              <w:jc w:val="center"/>
              <w:rPr>
                <w:b/>
                <w:bCs/>
                <w:sz w:val="28"/>
                <w:szCs w:val="24"/>
              </w:rPr>
            </w:pPr>
            <w:r>
              <w:rPr>
                <w:rFonts w:hint="eastAsia"/>
                <w:b w:val="0"/>
                <w:bCs w:val="0"/>
                <w:sz w:val="28"/>
                <w:szCs w:val="24"/>
              </w:rPr>
              <w:t>阶段</w:t>
            </w:r>
          </w:p>
        </w:tc>
        <w:tc>
          <w:tcPr>
            <w:tcW w:w="2307" w:type="dxa"/>
            <w:tcBorders>
              <w:bottom w:val="single" w:color="7E7E7E" w:themeColor="text1" w:themeTint="80" w:sz="4" w:space="0"/>
              <w:insideH w:val="single" w:sz="4" w:space="0"/>
            </w:tcBorders>
          </w:tcPr>
          <w:p>
            <w:pPr>
              <w:ind w:firstLine="0" w:firstLineChars="0"/>
              <w:rPr>
                <w:b/>
                <w:bCs/>
                <w:sz w:val="28"/>
                <w:szCs w:val="24"/>
              </w:rPr>
            </w:pPr>
            <w:r>
              <w:rPr>
                <w:rFonts w:hint="eastAsia"/>
                <w:b w:val="0"/>
                <w:bCs w:val="0"/>
                <w:sz w:val="28"/>
                <w:szCs w:val="24"/>
              </w:rPr>
              <w:t>时间</w:t>
            </w:r>
          </w:p>
        </w:tc>
        <w:tc>
          <w:tcPr>
            <w:tcW w:w="3163" w:type="dxa"/>
            <w:tcBorders>
              <w:bottom w:val="single" w:color="7E7E7E" w:themeColor="text1" w:themeTint="80" w:sz="4" w:space="0"/>
              <w:insideH w:val="single" w:sz="4" w:space="0"/>
            </w:tcBorders>
          </w:tcPr>
          <w:p>
            <w:pPr>
              <w:ind w:firstLine="0" w:firstLineChars="0"/>
              <w:rPr>
                <w:b/>
                <w:bCs/>
                <w:sz w:val="28"/>
                <w:szCs w:val="24"/>
              </w:rPr>
            </w:pPr>
            <w:r>
              <w:rPr>
                <w:rFonts w:hint="eastAsia"/>
                <w:b w:val="0"/>
                <w:bCs w:val="0"/>
                <w:sz w:val="28"/>
                <w:szCs w:val="24"/>
              </w:rPr>
              <w:t>工作内容</w:t>
            </w:r>
          </w:p>
        </w:tc>
      </w:tr>
      <w:tr>
        <w:tblPrEx>
          <w:tblBorders>
            <w:top w:val="single" w:color="7E7E7E" w:themeColor="text1" w:themeTint="80" w:sz="4" w:space="0"/>
            <w:left w:val="none" w:color="auto" w:sz="0" w:space="0"/>
            <w:bottom w:val="single" w:color="7E7E7E" w:themeColor="text1" w:themeTint="80"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83" w:hRule="atLeast"/>
        </w:trPr>
        <w:tc>
          <w:tcPr>
            <w:tcW w:w="2734" w:type="dxa"/>
            <w:tcBorders>
              <w:top w:val="single" w:color="7E7E7E" w:themeColor="text1" w:themeTint="80" w:sz="4" w:space="0"/>
              <w:bottom w:val="single" w:color="7E7E7E" w:themeColor="text1" w:themeTint="80" w:sz="4" w:space="0"/>
            </w:tcBorders>
          </w:tcPr>
          <w:p>
            <w:pPr>
              <w:ind w:firstLine="0" w:firstLineChars="0"/>
              <w:jc w:val="center"/>
              <w:rPr>
                <w:b w:val="0"/>
                <w:bCs w:val="0"/>
              </w:rPr>
            </w:pPr>
          </w:p>
          <w:p>
            <w:pPr>
              <w:ind w:firstLine="0" w:firstLineChars="0"/>
              <w:jc w:val="center"/>
              <w:rPr>
                <w:b w:val="0"/>
                <w:bCs w:val="0"/>
              </w:rPr>
            </w:pPr>
            <w:r>
              <w:rPr>
                <w:rFonts w:hint="eastAsia"/>
                <w:b/>
                <w:bCs/>
              </w:rPr>
              <w:t>部署阶段</w:t>
            </w:r>
          </w:p>
        </w:tc>
        <w:tc>
          <w:tcPr>
            <w:tcW w:w="2307" w:type="dxa"/>
            <w:tcBorders>
              <w:top w:val="single" w:color="7E7E7E" w:themeColor="text1" w:themeTint="80" w:sz="4" w:space="0"/>
              <w:bottom w:val="single" w:color="7E7E7E" w:themeColor="text1" w:themeTint="80" w:sz="4" w:space="0"/>
            </w:tcBorders>
          </w:tcPr>
          <w:p>
            <w:pPr>
              <w:ind w:firstLine="0" w:firstLineChars="0"/>
            </w:pPr>
          </w:p>
        </w:tc>
        <w:tc>
          <w:tcPr>
            <w:tcW w:w="3163" w:type="dxa"/>
            <w:tcBorders>
              <w:top w:val="single" w:color="7E7E7E" w:themeColor="text1" w:themeTint="80" w:sz="4" w:space="0"/>
              <w:bottom w:val="single" w:color="7E7E7E" w:themeColor="text1" w:themeTint="80" w:sz="4" w:space="0"/>
            </w:tcBorders>
          </w:tcPr>
          <w:p>
            <w:pPr>
              <w:pStyle w:val="25"/>
              <w:numPr>
                <w:ilvl w:val="0"/>
                <w:numId w:val="7"/>
              </w:numPr>
              <w:ind w:firstLineChars="0"/>
            </w:pPr>
            <w:r>
              <w:rPr>
                <w:rFonts w:hint="eastAsia"/>
              </w:rPr>
              <w:t>系统部署。</w:t>
            </w:r>
          </w:p>
          <w:p>
            <w:pPr>
              <w:pStyle w:val="25"/>
              <w:numPr>
                <w:ilvl w:val="0"/>
                <w:numId w:val="7"/>
              </w:numPr>
              <w:ind w:firstLineChars="0"/>
            </w:pPr>
            <w:r>
              <w:rPr>
                <w:rFonts w:hint="eastAsia"/>
              </w:rPr>
              <w:t>形成公司组织架构。</w:t>
            </w:r>
          </w:p>
        </w:tc>
      </w:tr>
      <w:tr>
        <w:tblPrEx>
          <w:tblBorders>
            <w:top w:val="single" w:color="7E7E7E" w:themeColor="text1" w:themeTint="80" w:sz="4" w:space="0"/>
            <w:left w:val="none" w:color="auto" w:sz="0" w:space="0"/>
            <w:bottom w:val="single" w:color="7E7E7E" w:themeColor="text1" w:themeTint="80"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971" w:hRule="atLeast"/>
        </w:trPr>
        <w:tc>
          <w:tcPr>
            <w:tcW w:w="2734" w:type="dxa"/>
          </w:tcPr>
          <w:p>
            <w:pPr>
              <w:ind w:firstLine="0" w:firstLineChars="0"/>
              <w:jc w:val="center"/>
              <w:rPr>
                <w:b w:val="0"/>
                <w:bCs w:val="0"/>
              </w:rPr>
            </w:pPr>
          </w:p>
          <w:p>
            <w:pPr>
              <w:ind w:firstLine="0" w:firstLineChars="0"/>
              <w:jc w:val="center"/>
              <w:rPr>
                <w:b w:val="0"/>
                <w:bCs w:val="0"/>
              </w:rPr>
            </w:pPr>
          </w:p>
          <w:p>
            <w:pPr>
              <w:ind w:firstLine="0" w:firstLineChars="0"/>
              <w:jc w:val="center"/>
              <w:rPr>
                <w:b w:val="0"/>
                <w:bCs w:val="0"/>
              </w:rPr>
            </w:pPr>
            <w:r>
              <w:rPr>
                <w:rFonts w:hint="eastAsia"/>
                <w:b/>
                <w:bCs/>
              </w:rPr>
              <w:t>试用阶段</w:t>
            </w:r>
          </w:p>
        </w:tc>
        <w:tc>
          <w:tcPr>
            <w:tcW w:w="2307" w:type="dxa"/>
          </w:tcPr>
          <w:p>
            <w:pPr>
              <w:ind w:firstLine="0" w:firstLineChars="0"/>
            </w:pPr>
          </w:p>
        </w:tc>
        <w:tc>
          <w:tcPr>
            <w:tcW w:w="3163" w:type="dxa"/>
          </w:tcPr>
          <w:p>
            <w:pPr>
              <w:pStyle w:val="25"/>
              <w:numPr>
                <w:ilvl w:val="0"/>
                <w:numId w:val="8"/>
              </w:numPr>
              <w:ind w:firstLineChars="0"/>
            </w:pPr>
            <w:r>
              <w:rPr>
                <w:rFonts w:hint="eastAsia"/>
              </w:rPr>
              <w:t>宣传校友会系统使用试运行。</w:t>
            </w:r>
          </w:p>
          <w:p>
            <w:pPr>
              <w:pStyle w:val="25"/>
              <w:numPr>
                <w:ilvl w:val="0"/>
                <w:numId w:val="8"/>
              </w:numPr>
              <w:ind w:firstLineChars="0"/>
            </w:pPr>
            <w:r>
              <w:rPr>
                <w:rFonts w:hint="eastAsia"/>
              </w:rPr>
              <w:t>问题修改讨论，校友会领导使用总结讨论会议。</w:t>
            </w:r>
            <w:r>
              <w:t xml:space="preserve"> </w:t>
            </w:r>
          </w:p>
          <w:p>
            <w:pPr>
              <w:pStyle w:val="25"/>
              <w:numPr>
                <w:ilvl w:val="0"/>
                <w:numId w:val="8"/>
              </w:numPr>
              <w:ind w:firstLineChars="0"/>
            </w:pPr>
            <w:r>
              <w:rPr>
                <w:rFonts w:hint="eastAsia"/>
              </w:rPr>
              <w:t>问题总结汇总，进行优化调整。</w:t>
            </w:r>
          </w:p>
        </w:tc>
      </w:tr>
      <w:tr>
        <w:tblPrEx>
          <w:tblBorders>
            <w:top w:val="single" w:color="7E7E7E" w:themeColor="text1" w:themeTint="80" w:sz="4" w:space="0"/>
            <w:left w:val="none" w:color="auto" w:sz="0" w:space="0"/>
            <w:bottom w:val="single" w:color="7E7E7E" w:themeColor="text1" w:themeTint="80"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3" w:hRule="atLeast"/>
        </w:trPr>
        <w:tc>
          <w:tcPr>
            <w:tcW w:w="2734" w:type="dxa"/>
            <w:tcBorders>
              <w:top w:val="single" w:color="7E7E7E" w:themeColor="text1" w:themeTint="80" w:sz="4" w:space="0"/>
              <w:bottom w:val="single" w:color="7E7E7E" w:themeColor="text1" w:themeTint="80" w:sz="4" w:space="0"/>
            </w:tcBorders>
          </w:tcPr>
          <w:p>
            <w:pPr>
              <w:ind w:firstLine="0" w:firstLineChars="0"/>
              <w:jc w:val="center"/>
              <w:rPr>
                <w:b w:val="0"/>
                <w:bCs w:val="0"/>
              </w:rPr>
            </w:pPr>
            <w:r>
              <w:rPr>
                <w:rFonts w:hint="eastAsia"/>
                <w:b/>
                <w:bCs/>
              </w:rPr>
              <w:t>正式启用</w:t>
            </w:r>
          </w:p>
        </w:tc>
        <w:tc>
          <w:tcPr>
            <w:tcW w:w="2307" w:type="dxa"/>
            <w:tcBorders>
              <w:top w:val="single" w:color="7E7E7E" w:themeColor="text1" w:themeTint="80" w:sz="4" w:space="0"/>
              <w:bottom w:val="single" w:color="7E7E7E" w:themeColor="text1" w:themeTint="80" w:sz="4" w:space="0"/>
            </w:tcBorders>
          </w:tcPr>
          <w:p>
            <w:pPr>
              <w:ind w:firstLine="0" w:firstLineChars="0"/>
            </w:pPr>
          </w:p>
        </w:tc>
        <w:tc>
          <w:tcPr>
            <w:tcW w:w="3163" w:type="dxa"/>
            <w:tcBorders>
              <w:top w:val="single" w:color="7E7E7E" w:themeColor="text1" w:themeTint="80" w:sz="4" w:space="0"/>
              <w:bottom w:val="single" w:color="7E7E7E" w:themeColor="text1" w:themeTint="80" w:sz="4" w:space="0"/>
            </w:tcBorders>
          </w:tcPr>
          <w:p>
            <w:pPr>
              <w:pStyle w:val="25"/>
              <w:numPr>
                <w:ilvl w:val="0"/>
                <w:numId w:val="9"/>
              </w:numPr>
              <w:ind w:firstLineChars="0"/>
            </w:pPr>
            <w:r>
              <w:rPr>
                <w:rFonts w:hint="eastAsia"/>
              </w:rPr>
              <w:t>正式启用校友会系统。</w:t>
            </w:r>
          </w:p>
        </w:tc>
      </w:tr>
    </w:tbl>
    <w:p>
      <w:pPr>
        <w:pStyle w:val="6"/>
        <w:numPr>
          <w:ilvl w:val="0"/>
          <w:numId w:val="10"/>
        </w:numPr>
        <w:tabs>
          <w:tab w:val="clear" w:pos="312"/>
        </w:tabs>
        <w:ind w:left="2640"/>
      </w:pPr>
      <w:r>
        <w:rPr>
          <w:rFonts w:hint="eastAsia"/>
        </w:rPr>
        <w:t>服务器需求及网络需求</w:t>
      </w:r>
    </w:p>
    <w:p>
      <w:pPr>
        <w:ind w:firstLine="480"/>
      </w:pPr>
      <w:r>
        <w:rPr>
          <w:rFonts w:hint="eastAsia"/>
        </w:rPr>
        <w:t>校友分会信息管理系统是一个基于互联网环境的为便于校友交流的管理系统，需要有相应的网络支持和服务器配置支持系统的日常使用。</w:t>
      </w:r>
    </w:p>
    <w:p>
      <w:pPr>
        <w:ind w:firstLine="480"/>
        <w:rPr>
          <w:rFonts w:ascii="宋体" w:hAnsi="宋体" w:cs="宋体"/>
          <w:szCs w:val="24"/>
        </w:rPr>
      </w:pPr>
      <w:r>
        <w:rPr>
          <w:rFonts w:hint="eastAsia"/>
        </w:rPr>
        <w:t>郑大校友会主要目的是服务郑大校友，历年来郑大毕业的校友都是系统使用的用户考虑范围之内，所以在这里的用户数据需要郑州大学提供</w:t>
      </w:r>
      <w:r>
        <w:rPr>
          <w:rFonts w:ascii="宋体" w:hAnsi="宋体" w:cs="宋体"/>
          <w:szCs w:val="24"/>
        </w:rPr>
        <w:t>数据库资源</w:t>
      </w:r>
      <w:r>
        <w:rPr>
          <w:rFonts w:hint="eastAsia" w:ascii="宋体" w:hAnsi="宋体" w:cs="宋体"/>
          <w:szCs w:val="24"/>
        </w:rPr>
        <w:t>，数据库资源包括数据存储校友现有信息，及使用过程中产生的新的校友信息资源的录入。同时校友会系统主要管理人员为郑大校友会现任管理人员，相应的本系统网络环境配置在郑州大学网络环境中，</w:t>
      </w:r>
      <w:r>
        <w:rPr>
          <w:rFonts w:ascii="宋体" w:hAnsi="宋体" w:cs="宋体"/>
          <w:szCs w:val="24"/>
        </w:rPr>
        <w:t>需要郑州大学开通网络环境</w:t>
      </w:r>
      <w:r>
        <w:rPr>
          <w:rFonts w:hint="eastAsia" w:ascii="宋体" w:hAnsi="宋体" w:cs="宋体"/>
          <w:szCs w:val="24"/>
        </w:rPr>
        <w:t>，支持</w:t>
      </w:r>
      <w:r>
        <w:rPr>
          <w:rFonts w:hint="eastAsia"/>
        </w:rPr>
        <w:t>校友分会信息管理系统+</w:t>
      </w:r>
      <w:r>
        <w:t>-</w:t>
      </w:r>
      <w:r>
        <w:rPr>
          <w:rFonts w:hint="eastAsia" w:ascii="宋体" w:hAnsi="宋体" w:cs="宋体"/>
          <w:szCs w:val="24"/>
        </w:rPr>
        <w:t>初步的运行，部署实施阶段需要同时更新。</w:t>
      </w:r>
    </w:p>
    <w:p>
      <w:pPr>
        <w:ind w:firstLine="480"/>
        <w:rPr>
          <w:rFonts w:ascii="宋体" w:hAnsi="宋体" w:cs="宋体"/>
          <w:szCs w:val="24"/>
        </w:rPr>
      </w:pPr>
      <w:r>
        <w:rPr>
          <w:rFonts w:hint="eastAsia" w:ascii="宋体" w:hAnsi="宋体" w:cs="宋体"/>
          <w:szCs w:val="24"/>
        </w:rPr>
        <w:t>服务器是负责让校友会正常运行的基础，对服务器的考虑，主要考虑一下几个方面：</w:t>
      </w:r>
    </w:p>
    <w:p>
      <w:pPr>
        <w:numPr>
          <w:ilvl w:val="0"/>
          <w:numId w:val="11"/>
        </w:numPr>
        <w:ind w:firstLine="480"/>
        <w:rPr>
          <w:rFonts w:ascii="宋体" w:hAnsi="宋体" w:cs="宋体"/>
          <w:szCs w:val="24"/>
        </w:rPr>
      </w:pPr>
      <w:r>
        <w:rPr>
          <w:rFonts w:hint="eastAsia" w:ascii="宋体" w:hAnsi="宋体" w:cs="宋体"/>
          <w:szCs w:val="24"/>
        </w:rPr>
        <w:t>高度可靠性；</w:t>
      </w:r>
    </w:p>
    <w:p>
      <w:pPr>
        <w:ind w:firstLine="480" w:firstLineChars="0"/>
        <w:rPr>
          <w:rFonts w:ascii="宋体" w:hAnsi="宋体" w:cs="宋体"/>
          <w:szCs w:val="24"/>
        </w:rPr>
      </w:pPr>
      <w:r>
        <w:rPr>
          <w:rFonts w:hint="eastAsia" w:ascii="宋体" w:hAnsi="宋体" w:cs="宋体"/>
          <w:szCs w:val="24"/>
        </w:rPr>
        <w:t>为保证主机，操作系统，网络，数据库，应用软件等系统7*24小时平稳运行，最大限度减少停机时间。</w:t>
      </w:r>
    </w:p>
    <w:p>
      <w:pPr>
        <w:numPr>
          <w:ilvl w:val="0"/>
          <w:numId w:val="11"/>
        </w:numPr>
        <w:ind w:firstLine="480"/>
        <w:rPr>
          <w:rFonts w:ascii="宋体" w:hAnsi="宋体" w:cs="宋体"/>
          <w:szCs w:val="24"/>
        </w:rPr>
      </w:pPr>
      <w:r>
        <w:rPr>
          <w:rFonts w:hint="eastAsia" w:ascii="宋体" w:hAnsi="宋体" w:cs="宋体"/>
          <w:szCs w:val="24"/>
        </w:rPr>
        <w:t>先进性和高扩展性；</w:t>
      </w:r>
    </w:p>
    <w:p>
      <w:pPr>
        <w:ind w:firstLine="480"/>
        <w:rPr>
          <w:rFonts w:ascii="宋体" w:hAnsi="宋体" w:cs="宋体"/>
          <w:szCs w:val="24"/>
        </w:rPr>
      </w:pPr>
      <w:r>
        <w:rPr>
          <w:rFonts w:hint="eastAsia" w:ascii="宋体" w:hAnsi="宋体" w:cs="宋体"/>
          <w:szCs w:val="24"/>
        </w:rPr>
        <w:t>服务器的先进性和高扩展性，可以满足业务近期，中期甚至更长时间范围数据快速增长的需要。</w:t>
      </w:r>
    </w:p>
    <w:p>
      <w:pPr>
        <w:numPr>
          <w:ilvl w:val="0"/>
          <w:numId w:val="11"/>
        </w:numPr>
        <w:ind w:firstLine="480"/>
        <w:rPr>
          <w:rFonts w:ascii="宋体" w:hAnsi="宋体" w:cs="宋体"/>
          <w:szCs w:val="24"/>
        </w:rPr>
      </w:pPr>
      <w:r>
        <w:rPr>
          <w:rFonts w:hint="eastAsia" w:ascii="宋体" w:hAnsi="宋体" w:cs="宋体"/>
          <w:szCs w:val="24"/>
        </w:rPr>
        <w:t>易维护性和易管理性；</w:t>
      </w:r>
    </w:p>
    <w:p>
      <w:pPr>
        <w:ind w:firstLine="480"/>
        <w:rPr>
          <w:rFonts w:ascii="宋体" w:hAnsi="宋体" w:cs="宋体"/>
          <w:szCs w:val="24"/>
        </w:rPr>
      </w:pPr>
      <w:r>
        <w:rPr>
          <w:rFonts w:hint="eastAsia" w:ascii="宋体" w:hAnsi="宋体" w:cs="宋体"/>
          <w:szCs w:val="24"/>
        </w:rPr>
        <w:t>易维护和易管理性是为了减少校友会管理系统日常管理和维护的工作量，便于性能的调节和故障排除。</w:t>
      </w:r>
    </w:p>
    <w:p>
      <w:pPr>
        <w:numPr>
          <w:ilvl w:val="0"/>
          <w:numId w:val="11"/>
        </w:numPr>
        <w:ind w:firstLine="480"/>
        <w:rPr>
          <w:rFonts w:ascii="宋体" w:hAnsi="宋体" w:cs="宋体"/>
          <w:szCs w:val="24"/>
        </w:rPr>
      </w:pPr>
      <w:r>
        <w:rPr>
          <w:rFonts w:hint="eastAsia" w:ascii="宋体" w:hAnsi="宋体" w:cs="宋体"/>
          <w:szCs w:val="24"/>
        </w:rPr>
        <w:t>高度安全性；</w:t>
      </w:r>
    </w:p>
    <w:p>
      <w:pPr>
        <w:ind w:firstLine="480"/>
        <w:rPr>
          <w:rFonts w:ascii="宋体" w:hAnsi="宋体" w:cs="宋体"/>
          <w:szCs w:val="24"/>
        </w:rPr>
      </w:pPr>
      <w:r>
        <w:rPr>
          <w:rFonts w:hint="eastAsia" w:ascii="宋体" w:hAnsi="宋体" w:cs="宋体"/>
          <w:szCs w:val="24"/>
        </w:rPr>
        <w:t>严格控制并规范对系统敏感资源的访问和网络传输中数据安全。用户可以选择在最小投资下，保证系统安全。</w:t>
      </w:r>
    </w:p>
    <w:p>
      <w:pPr>
        <w:ind w:firstLine="480"/>
        <w:rPr>
          <w:rFonts w:ascii="宋体" w:hAnsi="宋体" w:cs="宋体"/>
          <w:szCs w:val="24"/>
        </w:rPr>
      </w:pPr>
      <w:r>
        <w:rPr>
          <w:rFonts w:hint="eastAsia" w:ascii="宋体" w:hAnsi="宋体" w:cs="宋体"/>
          <w:szCs w:val="24"/>
        </w:rPr>
        <w:t>根据上述要求，暂时采用服务器配置如下：</w:t>
      </w:r>
    </w:p>
    <w:tbl>
      <w:tblPr>
        <w:tblStyle w:val="18"/>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30"/>
        <w:gridCol w:w="2130"/>
        <w:gridCol w:w="2131"/>
        <w:gridCol w:w="21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tcPr>
          <w:p>
            <w:pPr>
              <w:ind w:firstLine="0" w:firstLineChars="0"/>
              <w:rPr>
                <w:rFonts w:ascii="宋体" w:hAnsi="宋体" w:cs="宋体"/>
                <w:szCs w:val="24"/>
              </w:rPr>
            </w:pPr>
            <w:r>
              <w:rPr>
                <w:rFonts w:hint="eastAsia" w:ascii="宋体" w:hAnsi="宋体" w:cs="宋体"/>
                <w:szCs w:val="24"/>
              </w:rPr>
              <w:t>序号</w:t>
            </w:r>
          </w:p>
        </w:tc>
        <w:tc>
          <w:tcPr>
            <w:tcW w:w="2130" w:type="dxa"/>
          </w:tcPr>
          <w:p>
            <w:pPr>
              <w:ind w:firstLine="0" w:firstLineChars="0"/>
              <w:rPr>
                <w:rFonts w:ascii="宋体" w:hAnsi="宋体" w:cs="宋体"/>
                <w:szCs w:val="24"/>
              </w:rPr>
            </w:pPr>
            <w:r>
              <w:rPr>
                <w:rFonts w:hint="eastAsia" w:ascii="宋体" w:hAnsi="宋体" w:cs="宋体"/>
                <w:szCs w:val="24"/>
              </w:rPr>
              <w:t>项目</w:t>
            </w:r>
          </w:p>
        </w:tc>
        <w:tc>
          <w:tcPr>
            <w:tcW w:w="2131" w:type="dxa"/>
          </w:tcPr>
          <w:p>
            <w:pPr>
              <w:ind w:firstLine="0" w:firstLineChars="0"/>
              <w:rPr>
                <w:rFonts w:ascii="宋体" w:hAnsi="宋体" w:cs="宋体"/>
                <w:szCs w:val="24"/>
              </w:rPr>
            </w:pPr>
            <w:r>
              <w:rPr>
                <w:rFonts w:hint="eastAsia" w:ascii="宋体" w:hAnsi="宋体" w:cs="宋体"/>
                <w:szCs w:val="24"/>
              </w:rPr>
              <w:t>配置</w:t>
            </w:r>
          </w:p>
        </w:tc>
        <w:tc>
          <w:tcPr>
            <w:tcW w:w="2131" w:type="dxa"/>
          </w:tcPr>
          <w:p>
            <w:pPr>
              <w:ind w:firstLine="0" w:firstLineChars="0"/>
              <w:rPr>
                <w:rFonts w:ascii="宋体" w:hAnsi="宋体" w:cs="宋体"/>
                <w:szCs w:val="24"/>
              </w:rPr>
            </w:pPr>
            <w:r>
              <w:rPr>
                <w:rFonts w:hint="eastAsia" w:ascii="宋体" w:hAnsi="宋体" w:cs="宋体"/>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tcPr>
          <w:p>
            <w:pPr>
              <w:ind w:firstLine="480"/>
              <w:rPr>
                <w:rFonts w:ascii="宋体" w:hAnsi="宋体" w:cs="宋体"/>
                <w:szCs w:val="24"/>
              </w:rPr>
            </w:pPr>
            <w:r>
              <w:rPr>
                <w:rFonts w:hint="eastAsia" w:ascii="宋体" w:hAnsi="宋体" w:cs="宋体"/>
                <w:szCs w:val="24"/>
              </w:rPr>
              <w:t>1</w:t>
            </w:r>
          </w:p>
        </w:tc>
        <w:tc>
          <w:tcPr>
            <w:tcW w:w="2130" w:type="dxa"/>
          </w:tcPr>
          <w:p>
            <w:pPr>
              <w:ind w:firstLine="240" w:firstLineChars="100"/>
              <w:rPr>
                <w:rFonts w:ascii="宋体" w:hAnsi="宋体" w:cs="宋体"/>
                <w:szCs w:val="24"/>
              </w:rPr>
            </w:pPr>
            <w:r>
              <w:rPr>
                <w:rFonts w:hint="eastAsia" w:ascii="宋体" w:hAnsi="宋体" w:cs="宋体"/>
                <w:szCs w:val="24"/>
              </w:rPr>
              <w:t>CPU</w:t>
            </w:r>
          </w:p>
        </w:tc>
        <w:tc>
          <w:tcPr>
            <w:tcW w:w="2131" w:type="dxa"/>
          </w:tcPr>
          <w:p>
            <w:pPr>
              <w:ind w:firstLine="480"/>
              <w:rPr>
                <w:rFonts w:ascii="宋体" w:hAnsi="宋体" w:cs="宋体"/>
                <w:szCs w:val="24"/>
              </w:rPr>
            </w:pPr>
            <w:r>
              <w:rPr>
                <w:rFonts w:hint="eastAsia" w:ascii="宋体" w:hAnsi="宋体" w:cs="宋体"/>
                <w:szCs w:val="24"/>
              </w:rPr>
              <w:t>3.0GHZ</w:t>
            </w:r>
          </w:p>
        </w:tc>
        <w:tc>
          <w:tcPr>
            <w:tcW w:w="2131" w:type="dxa"/>
          </w:tcPr>
          <w:p>
            <w:pPr>
              <w:ind w:firstLine="0" w:firstLineChars="0"/>
              <w:rPr>
                <w:rFonts w:ascii="宋体" w:hAnsi="宋体" w:cs="宋体"/>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tcPr>
          <w:p>
            <w:pPr>
              <w:ind w:firstLine="480"/>
              <w:rPr>
                <w:rFonts w:ascii="宋体" w:hAnsi="宋体" w:cs="宋体"/>
                <w:szCs w:val="24"/>
              </w:rPr>
            </w:pPr>
            <w:r>
              <w:rPr>
                <w:rFonts w:hint="eastAsia" w:ascii="宋体" w:hAnsi="宋体" w:cs="宋体"/>
                <w:szCs w:val="24"/>
              </w:rPr>
              <w:t>2</w:t>
            </w:r>
          </w:p>
        </w:tc>
        <w:tc>
          <w:tcPr>
            <w:tcW w:w="2130" w:type="dxa"/>
          </w:tcPr>
          <w:p>
            <w:pPr>
              <w:ind w:firstLine="240" w:firstLineChars="100"/>
              <w:rPr>
                <w:rFonts w:ascii="宋体" w:hAnsi="宋体" w:cs="宋体"/>
                <w:szCs w:val="24"/>
              </w:rPr>
            </w:pPr>
            <w:r>
              <w:rPr>
                <w:rFonts w:hint="eastAsia" w:ascii="宋体" w:hAnsi="宋体" w:cs="宋体"/>
                <w:szCs w:val="24"/>
              </w:rPr>
              <w:t>内存</w:t>
            </w:r>
          </w:p>
        </w:tc>
        <w:tc>
          <w:tcPr>
            <w:tcW w:w="2131" w:type="dxa"/>
          </w:tcPr>
          <w:p>
            <w:pPr>
              <w:ind w:firstLine="480"/>
              <w:rPr>
                <w:rFonts w:ascii="宋体" w:hAnsi="宋体" w:cs="宋体"/>
                <w:szCs w:val="24"/>
              </w:rPr>
            </w:pPr>
            <w:r>
              <w:rPr>
                <w:rFonts w:hint="eastAsia" w:ascii="宋体" w:hAnsi="宋体" w:cs="宋体"/>
                <w:szCs w:val="24"/>
              </w:rPr>
              <w:t>16G</w:t>
            </w:r>
          </w:p>
        </w:tc>
        <w:tc>
          <w:tcPr>
            <w:tcW w:w="2131" w:type="dxa"/>
          </w:tcPr>
          <w:p>
            <w:pPr>
              <w:ind w:firstLine="0" w:firstLineChars="0"/>
              <w:rPr>
                <w:rFonts w:ascii="宋体" w:hAnsi="宋体" w:cs="宋体"/>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tcPr>
          <w:p>
            <w:pPr>
              <w:ind w:firstLine="480"/>
              <w:rPr>
                <w:rFonts w:ascii="宋体" w:hAnsi="宋体" w:cs="宋体"/>
                <w:szCs w:val="24"/>
              </w:rPr>
            </w:pPr>
            <w:r>
              <w:rPr>
                <w:rFonts w:hint="eastAsia" w:ascii="宋体" w:hAnsi="宋体" w:cs="宋体"/>
                <w:szCs w:val="24"/>
              </w:rPr>
              <w:t>3</w:t>
            </w:r>
          </w:p>
        </w:tc>
        <w:tc>
          <w:tcPr>
            <w:tcW w:w="2130" w:type="dxa"/>
          </w:tcPr>
          <w:p>
            <w:pPr>
              <w:ind w:firstLine="240" w:firstLineChars="100"/>
              <w:rPr>
                <w:rFonts w:ascii="宋体" w:hAnsi="宋体" w:cs="宋体"/>
                <w:szCs w:val="24"/>
              </w:rPr>
            </w:pPr>
            <w:r>
              <w:rPr>
                <w:rFonts w:hint="eastAsia" w:ascii="宋体" w:hAnsi="宋体" w:cs="宋体"/>
                <w:szCs w:val="24"/>
              </w:rPr>
              <w:t>硬盘</w:t>
            </w:r>
          </w:p>
        </w:tc>
        <w:tc>
          <w:tcPr>
            <w:tcW w:w="2131" w:type="dxa"/>
          </w:tcPr>
          <w:p>
            <w:pPr>
              <w:ind w:firstLine="480"/>
              <w:rPr>
                <w:rFonts w:ascii="宋体" w:hAnsi="宋体" w:cs="宋体"/>
                <w:szCs w:val="24"/>
              </w:rPr>
            </w:pPr>
            <w:r>
              <w:rPr>
                <w:rFonts w:hint="eastAsia" w:ascii="宋体" w:hAnsi="宋体" w:cs="宋体"/>
                <w:szCs w:val="24"/>
              </w:rPr>
              <w:t>1T</w:t>
            </w:r>
          </w:p>
        </w:tc>
        <w:tc>
          <w:tcPr>
            <w:tcW w:w="2131" w:type="dxa"/>
          </w:tcPr>
          <w:p>
            <w:pPr>
              <w:ind w:firstLine="0" w:firstLineChars="0"/>
              <w:rPr>
                <w:rFonts w:ascii="宋体" w:hAnsi="宋体" w:cs="宋体"/>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tcPr>
          <w:p>
            <w:pPr>
              <w:ind w:firstLine="480"/>
              <w:rPr>
                <w:rFonts w:ascii="宋体" w:hAnsi="宋体" w:cs="宋体"/>
                <w:szCs w:val="24"/>
              </w:rPr>
            </w:pPr>
            <w:r>
              <w:rPr>
                <w:rFonts w:hint="eastAsia" w:ascii="宋体" w:hAnsi="宋体" w:cs="宋体"/>
                <w:szCs w:val="24"/>
              </w:rPr>
              <w:t>4</w:t>
            </w:r>
          </w:p>
        </w:tc>
        <w:tc>
          <w:tcPr>
            <w:tcW w:w="2130" w:type="dxa"/>
          </w:tcPr>
          <w:p>
            <w:pPr>
              <w:ind w:firstLine="240" w:firstLineChars="100"/>
              <w:rPr>
                <w:rFonts w:ascii="宋体" w:hAnsi="宋体" w:cs="宋体"/>
                <w:szCs w:val="24"/>
              </w:rPr>
            </w:pPr>
            <w:r>
              <w:rPr>
                <w:rFonts w:hint="eastAsia" w:ascii="宋体" w:hAnsi="宋体" w:cs="宋体"/>
                <w:szCs w:val="24"/>
              </w:rPr>
              <w:t>存储设备</w:t>
            </w:r>
          </w:p>
        </w:tc>
        <w:tc>
          <w:tcPr>
            <w:tcW w:w="2131" w:type="dxa"/>
          </w:tcPr>
          <w:p>
            <w:pPr>
              <w:ind w:firstLine="480"/>
              <w:rPr>
                <w:rFonts w:ascii="宋体" w:hAnsi="宋体" w:cs="宋体"/>
                <w:szCs w:val="24"/>
              </w:rPr>
            </w:pPr>
            <w:r>
              <w:rPr>
                <w:rFonts w:ascii="宋体" w:hAnsi="宋体" w:cs="宋体"/>
                <w:szCs w:val="24"/>
              </w:rPr>
              <w:t>2T</w:t>
            </w:r>
          </w:p>
        </w:tc>
        <w:tc>
          <w:tcPr>
            <w:tcW w:w="2131" w:type="dxa"/>
          </w:tcPr>
          <w:p>
            <w:pPr>
              <w:ind w:firstLine="0" w:firstLineChars="0"/>
              <w:rPr>
                <w:rFonts w:ascii="宋体" w:hAnsi="宋体" w:cs="宋体"/>
                <w:szCs w:val="24"/>
              </w:rPr>
            </w:pPr>
            <w:r>
              <w:rPr>
                <w:rFonts w:hint="eastAsia" w:ascii="宋体" w:hAnsi="宋体" w:cs="宋体"/>
                <w:szCs w:val="24"/>
              </w:rPr>
              <w:t>可添加硬盘扩展</w:t>
            </w:r>
          </w:p>
        </w:tc>
      </w:tr>
    </w:tbl>
    <w:p>
      <w:pPr>
        <w:ind w:firstLine="480"/>
        <w:rPr>
          <w:rFonts w:ascii="宋体" w:hAnsi="宋体" w:cs="宋体"/>
          <w:szCs w:val="24"/>
        </w:rPr>
      </w:pPr>
    </w:p>
    <w:p>
      <w:pPr>
        <w:ind w:firstLine="480"/>
        <w:rPr>
          <w:rFonts w:hint="eastAsia"/>
        </w:rPr>
      </w:pPr>
    </w:p>
    <w:sectPr>
      <w:headerReference r:id="rId7" w:type="first"/>
      <w:footerReference r:id="rId10" w:type="first"/>
      <w:headerReference r:id="rId5" w:type="default"/>
      <w:footerReference r:id="rId8" w:type="default"/>
      <w:headerReference r:id="rId6" w:type="even"/>
      <w:footerReference r:id="rId9" w:type="even"/>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00"/>
    <w:family w:val="auto"/>
    <w:pitch w:val="default"/>
    <w:sig w:usb0="00000000" w:usb1="00000000" w:usb2="00000000" w:usb3="00000000" w:csb0="00000000" w:csb1="00000000"/>
  </w:font>
  <w:font w:name="等线 Light">
    <w:altName w:val="宋体"/>
    <w:panose1 w:val="02010600030101010101"/>
    <w:charset w:val="86"/>
    <w:family w:val="auto"/>
    <w:pitch w:val="default"/>
    <w:sig w:usb0="00000000" w:usb1="00000000" w:usb2="00000016" w:usb3="00000000" w:csb0="0004000F" w:csb1="00000000"/>
  </w:font>
  <w:font w:name="Calibri Light">
    <w:panose1 w:val="020F0302020204030204"/>
    <w:charset w:val="00"/>
    <w:family w:val="swiss"/>
    <w:pitch w:val="default"/>
    <w:sig w:usb0="A00002EF" w:usb1="4000207B" w:usb2="00000000" w:usb3="00000000" w:csb0="2000019F" w:csb1="00000000"/>
  </w:font>
  <w:font w:name="Arial">
    <w:panose1 w:val="020B0604020202020204"/>
    <w:charset w:val="00"/>
    <w:family w:val="swiss"/>
    <w:pitch w:val="default"/>
    <w:sig w:usb0="E0002AFF" w:usb1="C0007843" w:usb2="00000009" w:usb3="00000000" w:csb0="400001FF" w:csb1="FFFF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Tahoma">
    <w:panose1 w:val="020B0604030504040204"/>
    <w:charset w:val="00"/>
    <w:family w:val="swiss"/>
    <w:pitch w:val="default"/>
    <w:sig w:usb0="E1002EFF" w:usb1="C000605B" w:usb2="00000029" w:usb3="00000000" w:csb0="200101FF" w:csb1="20280000"/>
  </w:font>
  <w:font w:name="楷体">
    <w:panose1 w:val="02010609060101010101"/>
    <w:charset w:val="86"/>
    <w:family w:val="modern"/>
    <w:pitch w:val="default"/>
    <w:sig w:usb0="800002BF" w:usb1="38CF7CFA" w:usb2="00000016" w:usb3="00000000" w:csb0="00040001" w:csb1="00000000"/>
  </w:font>
  <w:font w:name="等线 Light">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480"/>
      </w:pPr>
      <w:r>
        <w:separator/>
      </w:r>
    </w:p>
  </w:footnote>
  <w:footnote w:type="continuationSeparator" w:id="1">
    <w:p>
      <w:pPr>
        <w:spacing w:line="240" w:lineRule="auto"/>
        <w:ind w:firstLine="48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EFD7FE0"/>
    <w:multiLevelType w:val="singleLevel"/>
    <w:tmpl w:val="9EFD7FE0"/>
    <w:lvl w:ilvl="0" w:tentative="0">
      <w:start w:val="2"/>
      <w:numFmt w:val="decimal"/>
      <w:lvlText w:val="%1."/>
      <w:lvlJc w:val="left"/>
      <w:pPr>
        <w:tabs>
          <w:tab w:val="left" w:pos="312"/>
        </w:tabs>
      </w:pPr>
    </w:lvl>
  </w:abstractNum>
  <w:abstractNum w:abstractNumId="1">
    <w:nsid w:val="B9F5717C"/>
    <w:multiLevelType w:val="singleLevel"/>
    <w:tmpl w:val="B9F5717C"/>
    <w:lvl w:ilvl="0" w:tentative="0">
      <w:start w:val="1"/>
      <w:numFmt w:val="decimal"/>
      <w:suff w:val="nothing"/>
      <w:lvlText w:val="%1）"/>
      <w:lvlJc w:val="left"/>
    </w:lvl>
  </w:abstractNum>
  <w:abstractNum w:abstractNumId="2">
    <w:nsid w:val="08834BF7"/>
    <w:multiLevelType w:val="multilevel"/>
    <w:tmpl w:val="08834BF7"/>
    <w:lvl w:ilvl="0" w:tentative="0">
      <w:start w:val="1"/>
      <w:numFmt w:val="decimal"/>
      <w:pStyle w:val="6"/>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114E7DAF"/>
    <w:multiLevelType w:val="multilevel"/>
    <w:tmpl w:val="114E7DAF"/>
    <w:lvl w:ilvl="0" w:tentative="0">
      <w:start w:val="1"/>
      <w:numFmt w:val="decimal"/>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2DDD3EF1"/>
    <w:multiLevelType w:val="multilevel"/>
    <w:tmpl w:val="2DDD3EF1"/>
    <w:lvl w:ilvl="0" w:tentative="0">
      <w:start w:val="1"/>
      <w:numFmt w:val="bullet"/>
      <w:lvlText w:val=""/>
      <w:lvlJc w:val="left"/>
      <w:pPr>
        <w:ind w:left="1380" w:hanging="420"/>
      </w:pPr>
      <w:rPr>
        <w:rFonts w:hint="default" w:ascii="Wingdings" w:hAnsi="Wingdings"/>
      </w:rPr>
    </w:lvl>
    <w:lvl w:ilvl="1" w:tentative="0">
      <w:start w:val="1"/>
      <w:numFmt w:val="bullet"/>
      <w:lvlText w:val=""/>
      <w:lvlJc w:val="left"/>
      <w:pPr>
        <w:ind w:left="1800" w:hanging="420"/>
      </w:pPr>
      <w:rPr>
        <w:rFonts w:hint="default" w:ascii="Wingdings" w:hAnsi="Wingdings"/>
      </w:rPr>
    </w:lvl>
    <w:lvl w:ilvl="2" w:tentative="0">
      <w:start w:val="1"/>
      <w:numFmt w:val="bullet"/>
      <w:lvlText w:val=""/>
      <w:lvlJc w:val="left"/>
      <w:pPr>
        <w:ind w:left="2220" w:hanging="420"/>
      </w:pPr>
      <w:rPr>
        <w:rFonts w:hint="default" w:ascii="Wingdings" w:hAnsi="Wingdings"/>
      </w:rPr>
    </w:lvl>
    <w:lvl w:ilvl="3" w:tentative="0">
      <w:start w:val="1"/>
      <w:numFmt w:val="bullet"/>
      <w:lvlText w:val=""/>
      <w:lvlJc w:val="left"/>
      <w:pPr>
        <w:ind w:left="2640" w:hanging="420"/>
      </w:pPr>
      <w:rPr>
        <w:rFonts w:hint="default" w:ascii="Wingdings" w:hAnsi="Wingdings"/>
      </w:rPr>
    </w:lvl>
    <w:lvl w:ilvl="4" w:tentative="0">
      <w:start w:val="1"/>
      <w:numFmt w:val="bullet"/>
      <w:lvlText w:val=""/>
      <w:lvlJc w:val="left"/>
      <w:pPr>
        <w:ind w:left="3060" w:hanging="420"/>
      </w:pPr>
      <w:rPr>
        <w:rFonts w:hint="default" w:ascii="Wingdings" w:hAnsi="Wingdings"/>
      </w:rPr>
    </w:lvl>
    <w:lvl w:ilvl="5" w:tentative="0">
      <w:start w:val="1"/>
      <w:numFmt w:val="bullet"/>
      <w:lvlText w:val=""/>
      <w:lvlJc w:val="left"/>
      <w:pPr>
        <w:ind w:left="3480" w:hanging="420"/>
      </w:pPr>
      <w:rPr>
        <w:rFonts w:hint="default" w:ascii="Wingdings" w:hAnsi="Wingdings"/>
      </w:rPr>
    </w:lvl>
    <w:lvl w:ilvl="6" w:tentative="0">
      <w:start w:val="1"/>
      <w:numFmt w:val="bullet"/>
      <w:lvlText w:val=""/>
      <w:lvlJc w:val="left"/>
      <w:pPr>
        <w:ind w:left="3900" w:hanging="420"/>
      </w:pPr>
      <w:rPr>
        <w:rFonts w:hint="default" w:ascii="Wingdings" w:hAnsi="Wingdings"/>
      </w:rPr>
    </w:lvl>
    <w:lvl w:ilvl="7" w:tentative="0">
      <w:start w:val="1"/>
      <w:numFmt w:val="bullet"/>
      <w:lvlText w:val=""/>
      <w:lvlJc w:val="left"/>
      <w:pPr>
        <w:ind w:left="4320" w:hanging="420"/>
      </w:pPr>
      <w:rPr>
        <w:rFonts w:hint="default" w:ascii="Wingdings" w:hAnsi="Wingdings"/>
      </w:rPr>
    </w:lvl>
    <w:lvl w:ilvl="8" w:tentative="0">
      <w:start w:val="1"/>
      <w:numFmt w:val="bullet"/>
      <w:lvlText w:val=""/>
      <w:lvlJc w:val="left"/>
      <w:pPr>
        <w:ind w:left="4740" w:hanging="420"/>
      </w:pPr>
      <w:rPr>
        <w:rFonts w:hint="default" w:ascii="Wingdings" w:hAnsi="Wingdings"/>
      </w:rPr>
    </w:lvl>
  </w:abstractNum>
  <w:abstractNum w:abstractNumId="5">
    <w:nsid w:val="2F8B1F28"/>
    <w:multiLevelType w:val="multilevel"/>
    <w:tmpl w:val="2F8B1F28"/>
    <w:lvl w:ilvl="0" w:tentative="0">
      <w:start w:val="1"/>
      <w:numFmt w:val="chineseCountingThousand"/>
      <w:pStyle w:val="5"/>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6">
    <w:nsid w:val="32BC0F0D"/>
    <w:multiLevelType w:val="multilevel"/>
    <w:tmpl w:val="32BC0F0D"/>
    <w:lvl w:ilvl="0" w:tentative="0">
      <w:start w:val="1"/>
      <w:numFmt w:val="decimal"/>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7">
    <w:nsid w:val="475A1622"/>
    <w:multiLevelType w:val="multilevel"/>
    <w:tmpl w:val="475A1622"/>
    <w:lvl w:ilvl="0" w:tentative="0">
      <w:start w:val="1"/>
      <w:numFmt w:val="bullet"/>
      <w:lvlText w:val=""/>
      <w:lvlJc w:val="left"/>
      <w:pPr>
        <w:ind w:left="1380" w:hanging="420"/>
      </w:pPr>
      <w:rPr>
        <w:rFonts w:hint="default" w:ascii="Wingdings" w:hAnsi="Wingdings"/>
      </w:rPr>
    </w:lvl>
    <w:lvl w:ilvl="1" w:tentative="0">
      <w:start w:val="1"/>
      <w:numFmt w:val="bullet"/>
      <w:lvlText w:val=""/>
      <w:lvlJc w:val="left"/>
      <w:pPr>
        <w:ind w:left="1800" w:hanging="420"/>
      </w:pPr>
      <w:rPr>
        <w:rFonts w:hint="default" w:ascii="Wingdings" w:hAnsi="Wingdings"/>
      </w:rPr>
    </w:lvl>
    <w:lvl w:ilvl="2" w:tentative="0">
      <w:start w:val="1"/>
      <w:numFmt w:val="bullet"/>
      <w:lvlText w:val=""/>
      <w:lvlJc w:val="left"/>
      <w:pPr>
        <w:ind w:left="2220" w:hanging="420"/>
      </w:pPr>
      <w:rPr>
        <w:rFonts w:hint="default" w:ascii="Wingdings" w:hAnsi="Wingdings"/>
      </w:rPr>
    </w:lvl>
    <w:lvl w:ilvl="3" w:tentative="0">
      <w:start w:val="1"/>
      <w:numFmt w:val="bullet"/>
      <w:lvlText w:val=""/>
      <w:lvlJc w:val="left"/>
      <w:pPr>
        <w:ind w:left="2640" w:hanging="420"/>
      </w:pPr>
      <w:rPr>
        <w:rFonts w:hint="default" w:ascii="Wingdings" w:hAnsi="Wingdings"/>
      </w:rPr>
    </w:lvl>
    <w:lvl w:ilvl="4" w:tentative="0">
      <w:start w:val="1"/>
      <w:numFmt w:val="bullet"/>
      <w:lvlText w:val=""/>
      <w:lvlJc w:val="left"/>
      <w:pPr>
        <w:ind w:left="3060" w:hanging="420"/>
      </w:pPr>
      <w:rPr>
        <w:rFonts w:hint="default" w:ascii="Wingdings" w:hAnsi="Wingdings"/>
      </w:rPr>
    </w:lvl>
    <w:lvl w:ilvl="5" w:tentative="0">
      <w:start w:val="1"/>
      <w:numFmt w:val="bullet"/>
      <w:lvlText w:val=""/>
      <w:lvlJc w:val="left"/>
      <w:pPr>
        <w:ind w:left="3480" w:hanging="420"/>
      </w:pPr>
      <w:rPr>
        <w:rFonts w:hint="default" w:ascii="Wingdings" w:hAnsi="Wingdings"/>
      </w:rPr>
    </w:lvl>
    <w:lvl w:ilvl="6" w:tentative="0">
      <w:start w:val="1"/>
      <w:numFmt w:val="bullet"/>
      <w:lvlText w:val=""/>
      <w:lvlJc w:val="left"/>
      <w:pPr>
        <w:ind w:left="3900" w:hanging="420"/>
      </w:pPr>
      <w:rPr>
        <w:rFonts w:hint="default" w:ascii="Wingdings" w:hAnsi="Wingdings"/>
      </w:rPr>
    </w:lvl>
    <w:lvl w:ilvl="7" w:tentative="0">
      <w:start w:val="1"/>
      <w:numFmt w:val="bullet"/>
      <w:lvlText w:val=""/>
      <w:lvlJc w:val="left"/>
      <w:pPr>
        <w:ind w:left="4320" w:hanging="420"/>
      </w:pPr>
      <w:rPr>
        <w:rFonts w:hint="default" w:ascii="Wingdings" w:hAnsi="Wingdings"/>
      </w:rPr>
    </w:lvl>
    <w:lvl w:ilvl="8" w:tentative="0">
      <w:start w:val="1"/>
      <w:numFmt w:val="bullet"/>
      <w:lvlText w:val=""/>
      <w:lvlJc w:val="left"/>
      <w:pPr>
        <w:ind w:left="4740" w:hanging="420"/>
      </w:pPr>
      <w:rPr>
        <w:rFonts w:hint="default" w:ascii="Wingdings" w:hAnsi="Wingdings"/>
      </w:rPr>
    </w:lvl>
  </w:abstractNum>
  <w:abstractNum w:abstractNumId="8">
    <w:nsid w:val="763F2350"/>
    <w:multiLevelType w:val="multilevel"/>
    <w:tmpl w:val="763F2350"/>
    <w:lvl w:ilvl="0" w:tentative="0">
      <w:start w:val="1"/>
      <w:numFmt w:val="decimal"/>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9">
    <w:nsid w:val="77AA7A1B"/>
    <w:multiLevelType w:val="multilevel"/>
    <w:tmpl w:val="77AA7A1B"/>
    <w:lvl w:ilvl="0" w:tentative="0">
      <w:start w:val="1"/>
      <w:numFmt w:val="decimal"/>
      <w:pStyle w:val="8"/>
      <w:lvlText w:val="%1)"/>
      <w:lvlJc w:val="left"/>
      <w:pPr>
        <w:ind w:left="618" w:hanging="420"/>
      </w:pPr>
    </w:lvl>
    <w:lvl w:ilvl="1" w:tentative="0">
      <w:start w:val="1"/>
      <w:numFmt w:val="lowerLetter"/>
      <w:lvlText w:val="%2)"/>
      <w:lvlJc w:val="left"/>
      <w:pPr>
        <w:ind w:left="1040" w:hanging="420"/>
      </w:pPr>
    </w:lvl>
    <w:lvl w:ilvl="2" w:tentative="0">
      <w:start w:val="1"/>
      <w:numFmt w:val="lowerRoman"/>
      <w:lvlText w:val="%3."/>
      <w:lvlJc w:val="right"/>
      <w:pPr>
        <w:ind w:left="1460" w:hanging="420"/>
      </w:pPr>
    </w:lvl>
    <w:lvl w:ilvl="3" w:tentative="0">
      <w:start w:val="1"/>
      <w:numFmt w:val="decimal"/>
      <w:lvlText w:val="%4."/>
      <w:lvlJc w:val="left"/>
      <w:pPr>
        <w:ind w:left="1880" w:hanging="420"/>
      </w:pPr>
    </w:lvl>
    <w:lvl w:ilvl="4" w:tentative="0">
      <w:start w:val="1"/>
      <w:numFmt w:val="lowerLetter"/>
      <w:lvlText w:val="%5)"/>
      <w:lvlJc w:val="left"/>
      <w:pPr>
        <w:ind w:left="2300" w:hanging="420"/>
      </w:pPr>
    </w:lvl>
    <w:lvl w:ilvl="5" w:tentative="0">
      <w:start w:val="1"/>
      <w:numFmt w:val="lowerRoman"/>
      <w:lvlText w:val="%6."/>
      <w:lvlJc w:val="right"/>
      <w:pPr>
        <w:ind w:left="2720" w:hanging="420"/>
      </w:pPr>
    </w:lvl>
    <w:lvl w:ilvl="6" w:tentative="0">
      <w:start w:val="1"/>
      <w:numFmt w:val="decimal"/>
      <w:lvlText w:val="%7."/>
      <w:lvlJc w:val="left"/>
      <w:pPr>
        <w:ind w:left="3140" w:hanging="420"/>
      </w:pPr>
    </w:lvl>
    <w:lvl w:ilvl="7" w:tentative="0">
      <w:start w:val="1"/>
      <w:numFmt w:val="lowerLetter"/>
      <w:lvlText w:val="%8)"/>
      <w:lvlJc w:val="left"/>
      <w:pPr>
        <w:ind w:left="3560" w:hanging="420"/>
      </w:pPr>
    </w:lvl>
    <w:lvl w:ilvl="8" w:tentative="0">
      <w:start w:val="1"/>
      <w:numFmt w:val="lowerRoman"/>
      <w:lvlText w:val="%9."/>
      <w:lvlJc w:val="right"/>
      <w:pPr>
        <w:ind w:left="3980" w:hanging="420"/>
      </w:pPr>
    </w:lvl>
  </w:abstractNum>
  <w:abstractNum w:abstractNumId="10">
    <w:nsid w:val="7C577278"/>
    <w:multiLevelType w:val="multilevel"/>
    <w:tmpl w:val="7C577278"/>
    <w:lvl w:ilvl="0" w:tentative="0">
      <w:start w:val="1"/>
      <w:numFmt w:val="decimal"/>
      <w:lvlText w:val="2.2.2.2.%1."/>
      <w:lvlJc w:val="left"/>
      <w:pPr>
        <w:ind w:left="420" w:hanging="420"/>
      </w:pPr>
      <w:rPr>
        <w:rFonts w:hint="eastAsia"/>
      </w:rPr>
    </w:lvl>
    <w:lvl w:ilvl="1" w:tentative="0">
      <w:start w:val="1"/>
      <w:numFmt w:val="lowerLetter"/>
      <w:lvlText w:val="%2)"/>
      <w:lvlJc w:val="left"/>
      <w:pPr>
        <w:ind w:left="840" w:hanging="420"/>
      </w:pPr>
      <w:rPr>
        <w:rFonts w:hint="eastAsia"/>
      </w:rPr>
    </w:lvl>
    <w:lvl w:ilvl="2" w:tentative="0">
      <w:start w:val="1"/>
      <w:numFmt w:val="decimal"/>
      <w:lvlText w:val="1.4.4.1.%3"/>
      <w:lvlJc w:val="left"/>
      <w:pPr>
        <w:ind w:left="1260" w:hanging="420"/>
      </w:pPr>
      <w:rPr>
        <w:rFonts w:hint="eastAsia"/>
      </w:rPr>
    </w:lvl>
    <w:lvl w:ilvl="3" w:tentative="0">
      <w:start w:val="1"/>
      <w:numFmt w:val="decimal"/>
      <w:pStyle w:val="9"/>
      <w:lvlText w:val="1.4.3.%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num w:numId="1">
    <w:abstractNumId w:val="5"/>
  </w:num>
  <w:num w:numId="2">
    <w:abstractNumId w:val="2"/>
  </w:num>
  <w:num w:numId="3">
    <w:abstractNumId w:val="9"/>
  </w:num>
  <w:num w:numId="4">
    <w:abstractNumId w:val="10"/>
  </w:num>
  <w:num w:numId="5">
    <w:abstractNumId w:val="7"/>
  </w:num>
  <w:num w:numId="6">
    <w:abstractNumId w:val="4"/>
  </w:num>
  <w:num w:numId="7">
    <w:abstractNumId w:val="6"/>
  </w:num>
  <w:num w:numId="8">
    <w:abstractNumId w:val="3"/>
  </w:num>
  <w:num w:numId="9">
    <w:abstractNumId w:val="8"/>
  </w:num>
  <w:num w:numId="10">
    <w:abstractNumId w:val="0"/>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5"/>
  <w:bordersDoNotSurroundHeader w:val="1"/>
  <w:bordersDoNotSurroundFooter w:val="1"/>
  <w:documentProtection w:enforcement="0"/>
  <w:defaultTabStop w:val="420"/>
  <w:drawingGridVerticalSpacing w:val="156"/>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4011"/>
    <w:rsid w:val="00051748"/>
    <w:rsid w:val="000B711F"/>
    <w:rsid w:val="000E5C10"/>
    <w:rsid w:val="000F2406"/>
    <w:rsid w:val="00150E0B"/>
    <w:rsid w:val="001606C7"/>
    <w:rsid w:val="00201200"/>
    <w:rsid w:val="0028257C"/>
    <w:rsid w:val="002C21B2"/>
    <w:rsid w:val="00304751"/>
    <w:rsid w:val="0039047D"/>
    <w:rsid w:val="003D7F7E"/>
    <w:rsid w:val="004708D4"/>
    <w:rsid w:val="004E126F"/>
    <w:rsid w:val="00514011"/>
    <w:rsid w:val="00537FDA"/>
    <w:rsid w:val="005516C4"/>
    <w:rsid w:val="006151A3"/>
    <w:rsid w:val="006261D1"/>
    <w:rsid w:val="00670783"/>
    <w:rsid w:val="0075606A"/>
    <w:rsid w:val="007D797D"/>
    <w:rsid w:val="00810A49"/>
    <w:rsid w:val="00A52A6E"/>
    <w:rsid w:val="00AD18E6"/>
    <w:rsid w:val="00C74749"/>
    <w:rsid w:val="00D57886"/>
    <w:rsid w:val="00EB3CF7"/>
    <w:rsid w:val="00F65383"/>
    <w:rsid w:val="062E06CA"/>
    <w:rsid w:val="096579F8"/>
    <w:rsid w:val="09CD7ADE"/>
    <w:rsid w:val="10035533"/>
    <w:rsid w:val="34AA67CC"/>
    <w:rsid w:val="35CB05DF"/>
    <w:rsid w:val="38744542"/>
    <w:rsid w:val="40760AC7"/>
    <w:rsid w:val="48EB239F"/>
    <w:rsid w:val="4A0166AD"/>
    <w:rsid w:val="4A20172A"/>
    <w:rsid w:val="518D1436"/>
    <w:rsid w:val="568F4F0D"/>
    <w:rsid w:val="579979EC"/>
    <w:rsid w:val="5D762F59"/>
    <w:rsid w:val="67157326"/>
    <w:rsid w:val="69DA49B4"/>
    <w:rsid w:val="74DC28D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nhideWhenUsed="0" w:uiPriority="0" w:semiHidden="0" w:name="heading 4"/>
    <w:lsdException w:qFormat="1" w:uiPriority="9" w:semiHidden="0" w:name="heading 5"/>
    <w:lsdException w:qFormat="1" w:unhideWhenUsed="0" w:uiPriority="1" w:semiHidden="0" w:name="heading 6"/>
    <w:lsdException w:qFormat="1" w:unhideWhenUsed="0" w:uiPriority="1" w:semiHidden="0"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nhideWhenUsed="0" w:uiPriority="0"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60" w:lineRule="auto"/>
      <w:ind w:firstLine="200" w:firstLineChars="200"/>
      <w:jc w:val="both"/>
    </w:pPr>
    <w:rPr>
      <w:rFonts w:eastAsia="宋体" w:asciiTheme="minorHAnsi" w:hAnsiTheme="minorHAnsi" w:cstheme="minorBidi"/>
      <w:kern w:val="2"/>
      <w:sz w:val="24"/>
      <w:szCs w:val="22"/>
      <w:lang w:val="en-US" w:eastAsia="zh-CN" w:bidi="ar-SA"/>
    </w:rPr>
  </w:style>
  <w:style w:type="paragraph" w:styleId="4">
    <w:name w:val="heading 1"/>
    <w:basedOn w:val="1"/>
    <w:next w:val="1"/>
    <w:link w:val="21"/>
    <w:qFormat/>
    <w:uiPriority w:val="9"/>
    <w:pPr>
      <w:keepNext/>
      <w:keepLines/>
      <w:spacing w:before="340" w:after="330" w:line="578" w:lineRule="auto"/>
      <w:ind w:firstLine="0" w:firstLineChars="0"/>
      <w:outlineLvl w:val="0"/>
    </w:pPr>
    <w:rPr>
      <w:rFonts w:eastAsia="黑体"/>
      <w:b/>
      <w:bCs/>
      <w:kern w:val="44"/>
      <w:sz w:val="44"/>
      <w:szCs w:val="44"/>
    </w:rPr>
  </w:style>
  <w:style w:type="paragraph" w:styleId="5">
    <w:name w:val="heading 2"/>
    <w:basedOn w:val="1"/>
    <w:next w:val="1"/>
    <w:link w:val="22"/>
    <w:unhideWhenUsed/>
    <w:qFormat/>
    <w:uiPriority w:val="9"/>
    <w:pPr>
      <w:keepNext/>
      <w:keepLines/>
      <w:numPr>
        <w:ilvl w:val="0"/>
        <w:numId w:val="1"/>
      </w:numPr>
      <w:spacing w:before="260" w:after="260" w:line="415" w:lineRule="auto"/>
      <w:ind w:left="0" w:firstLine="0" w:firstLineChars="0"/>
      <w:outlineLvl w:val="1"/>
    </w:pPr>
    <w:rPr>
      <w:rFonts w:eastAsia="黑体" w:asciiTheme="majorHAnsi" w:hAnsiTheme="majorHAnsi" w:cstheme="majorBidi"/>
      <w:b/>
      <w:bCs/>
      <w:sz w:val="32"/>
      <w:szCs w:val="32"/>
    </w:rPr>
  </w:style>
  <w:style w:type="paragraph" w:styleId="6">
    <w:name w:val="heading 3"/>
    <w:basedOn w:val="1"/>
    <w:next w:val="1"/>
    <w:link w:val="30"/>
    <w:unhideWhenUsed/>
    <w:qFormat/>
    <w:uiPriority w:val="9"/>
    <w:pPr>
      <w:keepNext/>
      <w:keepLines/>
      <w:numPr>
        <w:ilvl w:val="0"/>
        <w:numId w:val="2"/>
      </w:numPr>
      <w:spacing w:before="260" w:after="260" w:line="415" w:lineRule="auto"/>
      <w:ind w:firstLine="0" w:firstLineChars="0"/>
      <w:outlineLvl w:val="2"/>
    </w:pPr>
    <w:rPr>
      <w:rFonts w:eastAsia="黑体"/>
      <w:bCs/>
      <w:sz w:val="32"/>
      <w:szCs w:val="32"/>
    </w:rPr>
  </w:style>
  <w:style w:type="paragraph" w:styleId="7">
    <w:name w:val="heading 4"/>
    <w:basedOn w:val="1"/>
    <w:next w:val="1"/>
    <w:link w:val="27"/>
    <w:qFormat/>
    <w:uiPriority w:val="0"/>
    <w:pPr>
      <w:keepNext/>
      <w:keepLines/>
      <w:spacing w:before="280" w:after="290" w:line="376" w:lineRule="auto"/>
      <w:ind w:firstLine="0" w:firstLineChars="0"/>
      <w:outlineLvl w:val="3"/>
    </w:pPr>
    <w:rPr>
      <w:rFonts w:ascii="Calibri Light" w:hAnsi="Calibri Light" w:cs="Times New Roman"/>
      <w:b/>
      <w:bCs/>
      <w:sz w:val="28"/>
      <w:szCs w:val="28"/>
      <w:lang w:val="zh-CN"/>
    </w:rPr>
  </w:style>
  <w:style w:type="paragraph" w:styleId="8">
    <w:name w:val="heading 5"/>
    <w:basedOn w:val="1"/>
    <w:next w:val="1"/>
    <w:link w:val="31"/>
    <w:unhideWhenUsed/>
    <w:qFormat/>
    <w:uiPriority w:val="9"/>
    <w:pPr>
      <w:keepNext/>
      <w:keepLines/>
      <w:numPr>
        <w:ilvl w:val="0"/>
        <w:numId w:val="3"/>
      </w:numPr>
      <w:spacing w:before="280" w:after="290" w:line="377" w:lineRule="auto"/>
      <w:ind w:firstLine="0" w:firstLineChars="0"/>
      <w:outlineLvl w:val="4"/>
    </w:pPr>
    <w:rPr>
      <w:rFonts w:eastAsia="黑体"/>
      <w:bCs/>
      <w:szCs w:val="28"/>
    </w:rPr>
  </w:style>
  <w:style w:type="paragraph" w:styleId="9">
    <w:name w:val="heading 6"/>
    <w:basedOn w:val="1"/>
    <w:next w:val="1"/>
    <w:qFormat/>
    <w:uiPriority w:val="1"/>
    <w:pPr>
      <w:numPr>
        <w:ilvl w:val="3"/>
        <w:numId w:val="4"/>
      </w:numPr>
      <w:spacing w:before="1"/>
      <w:outlineLvl w:val="5"/>
    </w:pPr>
    <w:rPr>
      <w:rFonts w:ascii="Arial" w:hAnsi="Arial" w:eastAsia="Arial" w:cs="Arial"/>
      <w:sz w:val="28"/>
      <w:szCs w:val="28"/>
    </w:rPr>
  </w:style>
  <w:style w:type="paragraph" w:styleId="10">
    <w:name w:val="heading 7"/>
    <w:basedOn w:val="1"/>
    <w:next w:val="1"/>
    <w:qFormat/>
    <w:uiPriority w:val="1"/>
    <w:pPr>
      <w:ind w:left="780"/>
      <w:outlineLvl w:val="6"/>
    </w:pPr>
    <w:rPr>
      <w:b/>
      <w:bCs/>
      <w:szCs w:val="24"/>
    </w:rPr>
  </w:style>
  <w:style w:type="character" w:default="1" w:styleId="19">
    <w:name w:val="Default Paragraph Font"/>
    <w:semiHidden/>
    <w:unhideWhenUsed/>
    <w:uiPriority w:val="1"/>
  </w:style>
  <w:style w:type="table" w:default="1" w:styleId="17">
    <w:name w:val="Normal Table"/>
    <w:semiHidden/>
    <w:unhideWhenUsed/>
    <w:uiPriority w:val="99"/>
    <w:tblPr>
      <w:tblCellMar>
        <w:top w:w="0" w:type="dxa"/>
        <w:left w:w="108" w:type="dxa"/>
        <w:bottom w:w="0" w:type="dxa"/>
        <w:right w:w="108" w:type="dxa"/>
      </w:tblCellMar>
    </w:tblPr>
  </w:style>
  <w:style w:type="paragraph" w:styleId="2">
    <w:name w:val="Body Text First Indent"/>
    <w:basedOn w:val="3"/>
    <w:next w:val="1"/>
    <w:qFormat/>
    <w:uiPriority w:val="0"/>
    <w:pPr>
      <w:spacing w:after="120"/>
      <w:ind w:firstLine="420" w:firstLineChars="100"/>
    </w:pPr>
    <w:rPr>
      <w:rFonts w:ascii="Arial" w:hAnsi="Arial"/>
    </w:rPr>
  </w:style>
  <w:style w:type="paragraph" w:styleId="3">
    <w:name w:val="Body Text"/>
    <w:basedOn w:val="1"/>
    <w:qFormat/>
    <w:uiPriority w:val="1"/>
    <w:rPr>
      <w:szCs w:val="24"/>
    </w:rPr>
  </w:style>
  <w:style w:type="paragraph" w:styleId="11">
    <w:name w:val="Normal Indent"/>
    <w:basedOn w:val="1"/>
    <w:link w:val="23"/>
    <w:qFormat/>
    <w:uiPriority w:val="0"/>
    <w:pPr>
      <w:snapToGrid w:val="0"/>
      <w:spacing w:line="300" w:lineRule="auto"/>
      <w:ind w:firstLine="567"/>
    </w:pPr>
    <w:rPr>
      <w:rFonts w:ascii="仿宋_GB2312" w:hAnsi="Tahoma" w:eastAsia="仿宋_GB2312"/>
      <w:sz w:val="28"/>
    </w:rPr>
  </w:style>
  <w:style w:type="paragraph" w:styleId="12">
    <w:name w:val="toc 3"/>
    <w:basedOn w:val="1"/>
    <w:next w:val="1"/>
    <w:unhideWhenUsed/>
    <w:qFormat/>
    <w:uiPriority w:val="39"/>
    <w:pPr>
      <w:ind w:left="840" w:leftChars="400"/>
    </w:pPr>
  </w:style>
  <w:style w:type="paragraph" w:styleId="13">
    <w:name w:val="footer"/>
    <w:basedOn w:val="1"/>
    <w:link w:val="41"/>
    <w:unhideWhenUsed/>
    <w:qFormat/>
    <w:uiPriority w:val="99"/>
    <w:pPr>
      <w:tabs>
        <w:tab w:val="center" w:pos="4153"/>
        <w:tab w:val="right" w:pos="8306"/>
      </w:tabs>
      <w:snapToGrid w:val="0"/>
      <w:spacing w:line="240" w:lineRule="auto"/>
      <w:jc w:val="left"/>
    </w:pPr>
    <w:rPr>
      <w:sz w:val="18"/>
      <w:szCs w:val="18"/>
    </w:rPr>
  </w:style>
  <w:style w:type="paragraph" w:styleId="14">
    <w:name w:val="header"/>
    <w:basedOn w:val="1"/>
    <w:link w:val="40"/>
    <w:unhideWhenUsed/>
    <w:qFormat/>
    <w:uiPriority w:val="99"/>
    <w:pPr>
      <w:pBdr>
        <w:bottom w:val="single" w:color="auto" w:sz="6" w:space="1"/>
      </w:pBdr>
      <w:tabs>
        <w:tab w:val="center" w:pos="4153"/>
        <w:tab w:val="right" w:pos="8306"/>
      </w:tabs>
      <w:snapToGrid w:val="0"/>
      <w:spacing w:line="240" w:lineRule="auto"/>
      <w:jc w:val="center"/>
    </w:pPr>
    <w:rPr>
      <w:sz w:val="18"/>
      <w:szCs w:val="18"/>
    </w:rPr>
  </w:style>
  <w:style w:type="paragraph" w:styleId="15">
    <w:name w:val="toc 1"/>
    <w:basedOn w:val="1"/>
    <w:next w:val="1"/>
    <w:unhideWhenUsed/>
    <w:qFormat/>
    <w:uiPriority w:val="39"/>
  </w:style>
  <w:style w:type="paragraph" w:styleId="16">
    <w:name w:val="toc 2"/>
    <w:basedOn w:val="1"/>
    <w:next w:val="1"/>
    <w:unhideWhenUsed/>
    <w:qFormat/>
    <w:uiPriority w:val="39"/>
    <w:pPr>
      <w:ind w:left="420" w:leftChars="200"/>
    </w:pPr>
  </w:style>
  <w:style w:type="table" w:styleId="18">
    <w:name w:val="Table Grid"/>
    <w:basedOn w:val="17"/>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0">
    <w:name w:val="Hyperlink"/>
    <w:basedOn w:val="19"/>
    <w:unhideWhenUsed/>
    <w:qFormat/>
    <w:uiPriority w:val="99"/>
    <w:rPr>
      <w:color w:val="0563C1" w:themeColor="hyperlink"/>
      <w:u w:val="single"/>
      <w14:textFill>
        <w14:solidFill>
          <w14:schemeClr w14:val="hlink"/>
        </w14:solidFill>
      </w14:textFill>
    </w:rPr>
  </w:style>
  <w:style w:type="character" w:customStyle="1" w:styleId="21">
    <w:name w:val="标题 1 字符"/>
    <w:basedOn w:val="19"/>
    <w:link w:val="4"/>
    <w:qFormat/>
    <w:uiPriority w:val="9"/>
    <w:rPr>
      <w:rFonts w:eastAsia="黑体"/>
      <w:b/>
      <w:bCs/>
      <w:kern w:val="44"/>
      <w:sz w:val="44"/>
      <w:szCs w:val="44"/>
    </w:rPr>
  </w:style>
  <w:style w:type="character" w:customStyle="1" w:styleId="22">
    <w:name w:val="标题 2 字符"/>
    <w:basedOn w:val="19"/>
    <w:link w:val="5"/>
    <w:qFormat/>
    <w:uiPriority w:val="9"/>
    <w:rPr>
      <w:rFonts w:eastAsia="黑体" w:asciiTheme="majorHAnsi" w:hAnsiTheme="majorHAnsi" w:cstheme="majorBidi"/>
      <w:b/>
      <w:bCs/>
      <w:sz w:val="32"/>
      <w:szCs w:val="32"/>
    </w:rPr>
  </w:style>
  <w:style w:type="character" w:customStyle="1" w:styleId="23">
    <w:name w:val="正文缩进 字符"/>
    <w:link w:val="11"/>
    <w:qFormat/>
    <w:locked/>
    <w:uiPriority w:val="0"/>
    <w:rPr>
      <w:rFonts w:ascii="仿宋_GB2312" w:hAnsi="Tahoma" w:eastAsia="仿宋_GB2312"/>
      <w:sz w:val="28"/>
    </w:rPr>
  </w:style>
  <w:style w:type="paragraph" w:customStyle="1" w:styleId="24">
    <w:name w:val="样式"/>
    <w:basedOn w:val="1"/>
    <w:next w:val="25"/>
    <w:qFormat/>
    <w:uiPriority w:val="34"/>
    <w:pPr>
      <w:ind w:firstLine="420"/>
    </w:pPr>
    <w:rPr>
      <w:rFonts w:ascii="Times New Roman" w:hAnsi="Times New Roman" w:cs="Times New Roman"/>
      <w:szCs w:val="24"/>
    </w:rPr>
  </w:style>
  <w:style w:type="paragraph" w:styleId="25">
    <w:name w:val="List Paragraph"/>
    <w:basedOn w:val="1"/>
    <w:qFormat/>
    <w:uiPriority w:val="34"/>
    <w:pPr>
      <w:ind w:firstLine="420"/>
    </w:pPr>
  </w:style>
  <w:style w:type="character" w:customStyle="1" w:styleId="26">
    <w:name w:val="标题 4 字符"/>
    <w:basedOn w:val="19"/>
    <w:semiHidden/>
    <w:qFormat/>
    <w:uiPriority w:val="9"/>
    <w:rPr>
      <w:rFonts w:asciiTheme="majorHAnsi" w:hAnsiTheme="majorHAnsi" w:eastAsiaTheme="majorEastAsia" w:cstheme="majorBidi"/>
      <w:b/>
      <w:bCs/>
      <w:sz w:val="28"/>
      <w:szCs w:val="28"/>
    </w:rPr>
  </w:style>
  <w:style w:type="character" w:customStyle="1" w:styleId="27">
    <w:name w:val="标题 4 字符1"/>
    <w:link w:val="7"/>
    <w:qFormat/>
    <w:uiPriority w:val="0"/>
    <w:rPr>
      <w:rFonts w:ascii="Calibri Light" w:hAnsi="Calibri Light" w:eastAsia="宋体" w:cs="Times New Roman"/>
      <w:b/>
      <w:bCs/>
      <w:sz w:val="28"/>
      <w:szCs w:val="28"/>
      <w:lang w:val="zh-CN" w:eastAsia="zh-CN"/>
    </w:rPr>
  </w:style>
  <w:style w:type="character" w:customStyle="1" w:styleId="28">
    <w:name w:val="正文缩进 Char"/>
    <w:qFormat/>
    <w:uiPriority w:val="0"/>
    <w:rPr>
      <w:rFonts w:ascii="仿宋_GB2312" w:hAnsi="Tahoma" w:eastAsia="仿宋_GB2312"/>
      <w:kern w:val="2"/>
      <w:sz w:val="28"/>
    </w:rPr>
  </w:style>
  <w:style w:type="paragraph" w:customStyle="1" w:styleId="29">
    <w:name w:val="Default"/>
    <w:qFormat/>
    <w:uiPriority w:val="0"/>
    <w:pPr>
      <w:widowControl w:val="0"/>
      <w:autoSpaceDE w:val="0"/>
      <w:autoSpaceDN w:val="0"/>
      <w:adjustRightInd w:val="0"/>
    </w:pPr>
    <w:rPr>
      <w:rFonts w:ascii="黑体" w:hAnsi="Times New Roman" w:eastAsia="黑体" w:cs="Times New Roman"/>
      <w:color w:val="000000"/>
      <w:sz w:val="24"/>
      <w:szCs w:val="24"/>
      <w:lang w:val="en-US" w:eastAsia="zh-CN" w:bidi="ar-SA"/>
    </w:rPr>
  </w:style>
  <w:style w:type="character" w:customStyle="1" w:styleId="30">
    <w:name w:val="标题 3 字符"/>
    <w:basedOn w:val="19"/>
    <w:link w:val="6"/>
    <w:qFormat/>
    <w:uiPriority w:val="9"/>
    <w:rPr>
      <w:rFonts w:eastAsia="黑体"/>
      <w:bCs/>
      <w:sz w:val="32"/>
      <w:szCs w:val="32"/>
    </w:rPr>
  </w:style>
  <w:style w:type="character" w:customStyle="1" w:styleId="31">
    <w:name w:val="标题 5 字符"/>
    <w:basedOn w:val="19"/>
    <w:link w:val="8"/>
    <w:qFormat/>
    <w:uiPriority w:val="9"/>
    <w:rPr>
      <w:rFonts w:eastAsia="黑体"/>
      <w:bCs/>
      <w:sz w:val="24"/>
      <w:szCs w:val="28"/>
    </w:rPr>
  </w:style>
  <w:style w:type="table" w:customStyle="1" w:styleId="32">
    <w:name w:val="网格型浅色1"/>
    <w:basedOn w:val="17"/>
    <w:qFormat/>
    <w:uiPriority w:val="40"/>
    <w:tblPr>
      <w:tblBorders>
        <w:top w:val="single" w:color="80C588" w:themeColor="background1" w:themeShade="BF" w:sz="4" w:space="0"/>
        <w:left w:val="single" w:color="80C588" w:themeColor="background1" w:themeShade="BF" w:sz="4" w:space="0"/>
        <w:bottom w:val="single" w:color="80C588" w:themeColor="background1" w:themeShade="BF" w:sz="4" w:space="0"/>
        <w:right w:val="single" w:color="80C588" w:themeColor="background1" w:themeShade="BF" w:sz="4" w:space="0"/>
        <w:insideH w:val="single" w:color="80C588" w:themeColor="background1" w:themeShade="BF" w:sz="4" w:space="0"/>
        <w:insideV w:val="single" w:color="80C588" w:themeColor="background1" w:themeShade="BF" w:sz="4" w:space="0"/>
      </w:tblBorders>
    </w:tblPr>
  </w:style>
  <w:style w:type="table" w:customStyle="1" w:styleId="33">
    <w:name w:val="无格式表格 11"/>
    <w:basedOn w:val="17"/>
    <w:qFormat/>
    <w:uiPriority w:val="41"/>
    <w:tblPr>
      <w:tblBorders>
        <w:top w:val="single" w:color="80C588" w:themeColor="background1" w:themeShade="BF" w:sz="4" w:space="0"/>
        <w:left w:val="single" w:color="80C588" w:themeColor="background1" w:themeShade="BF" w:sz="4" w:space="0"/>
        <w:bottom w:val="single" w:color="80C588" w:themeColor="background1" w:themeShade="BF" w:sz="4" w:space="0"/>
        <w:right w:val="single" w:color="80C588" w:themeColor="background1" w:themeShade="BF" w:sz="4" w:space="0"/>
        <w:insideH w:val="single" w:color="80C588" w:themeColor="background1" w:themeShade="BF" w:sz="4" w:space="0"/>
        <w:insideV w:val="single" w:color="80C588" w:themeColor="background1" w:themeShade="BF" w:sz="4" w:space="0"/>
      </w:tblBorders>
    </w:tblPr>
    <w:tblStylePr w:type="firstRow">
      <w:rPr>
        <w:b/>
        <w:bCs/>
      </w:rPr>
    </w:tblStylePr>
    <w:tblStylePr w:type="lastRow">
      <w:rPr>
        <w:b/>
        <w:bCs/>
      </w:rPr>
      <w:tcPr>
        <w:tcBorders>
          <w:top w:val="double" w:color="80C588" w:themeColor="background1" w:themeShade="BF" w:sz="4" w:space="0"/>
        </w:tcBorders>
      </w:tcPr>
    </w:tblStylePr>
    <w:tblStylePr w:type="firstCol">
      <w:rPr>
        <w:b/>
        <w:bCs/>
      </w:rPr>
    </w:tblStylePr>
    <w:tblStylePr w:type="lastCol">
      <w:rPr>
        <w:b/>
        <w:bCs/>
      </w:rPr>
    </w:tblStylePr>
    <w:tblStylePr w:type="band1Vert">
      <w:tcPr>
        <w:shd w:val="clear" w:color="auto" w:fill="BCE1C0" w:themeFill="background1" w:themeFillShade="F2"/>
      </w:tcPr>
    </w:tblStylePr>
    <w:tblStylePr w:type="band1Horz">
      <w:tcPr>
        <w:shd w:val="clear" w:color="auto" w:fill="BCE1C0" w:themeFill="background1" w:themeFillShade="F2"/>
      </w:tcPr>
    </w:tblStylePr>
  </w:style>
  <w:style w:type="table" w:customStyle="1" w:styleId="34">
    <w:name w:val="无格式表格 21"/>
    <w:basedOn w:val="17"/>
    <w:qFormat/>
    <w:uiPriority w:val="42"/>
    <w:tblPr>
      <w:tblBorders>
        <w:top w:val="single" w:color="7E7E7E" w:themeColor="text1" w:themeTint="80" w:sz="4" w:space="0"/>
        <w:bottom w:val="single" w:color="7E7E7E" w:themeColor="text1" w:themeTint="80" w:sz="4" w:space="0"/>
      </w:tblBorders>
    </w:tblPr>
    <w:tblStylePr w:type="firstRow">
      <w:rPr>
        <w:b/>
        <w:bCs/>
      </w:rPr>
      <w:tcPr>
        <w:tcBorders>
          <w:bottom w:val="single" w:color="7E7E7E" w:themeColor="text1" w:themeTint="80" w:sz="4" w:space="0"/>
        </w:tcBorders>
      </w:tcPr>
    </w:tblStylePr>
    <w:tblStylePr w:type="lastRow">
      <w:rPr>
        <w:b/>
        <w:bCs/>
      </w:rPr>
      <w:tcPr>
        <w:tcBorders>
          <w:top w:val="single" w:color="7E7E7E" w:themeColor="text1" w:themeTint="80" w:sz="4" w:space="0"/>
        </w:tcBorders>
      </w:tcPr>
    </w:tblStylePr>
    <w:tblStylePr w:type="firstCol">
      <w:rPr>
        <w:b/>
        <w:bCs/>
      </w:rPr>
    </w:tblStylePr>
    <w:tblStylePr w:type="lastCol">
      <w:rPr>
        <w:b/>
        <w:bCs/>
      </w:rPr>
    </w:tblStylePr>
    <w:tblStylePr w:type="band1Vert">
      <w:tcPr>
        <w:tcBorders>
          <w:left w:val="single" w:color="7E7E7E" w:themeColor="text1" w:themeTint="80" w:sz="4" w:space="0"/>
          <w:right w:val="single" w:color="7E7E7E" w:themeColor="text1" w:themeTint="80" w:sz="4" w:space="0"/>
        </w:tcBorders>
      </w:tcPr>
    </w:tblStylePr>
    <w:tblStylePr w:type="band2Vert">
      <w:tcPr>
        <w:tcBorders>
          <w:left w:val="single" w:color="7E7E7E" w:themeColor="text1" w:themeTint="80" w:sz="4" w:space="0"/>
          <w:right w:val="single" w:color="7E7E7E" w:themeColor="text1" w:themeTint="80" w:sz="4" w:space="0"/>
        </w:tcBorders>
      </w:tcPr>
    </w:tblStylePr>
    <w:tblStylePr w:type="band1Horz">
      <w:tcPr>
        <w:tcBorders>
          <w:top w:val="single" w:color="7E7E7E" w:themeColor="text1" w:themeTint="80" w:sz="4" w:space="0"/>
          <w:bottom w:val="single" w:color="7E7E7E" w:themeColor="text1" w:themeTint="80" w:sz="4" w:space="0"/>
        </w:tcBorders>
      </w:tcPr>
    </w:tblStylePr>
  </w:style>
  <w:style w:type="table" w:customStyle="1" w:styleId="35">
    <w:name w:val="无格式表格 31"/>
    <w:basedOn w:val="17"/>
    <w:qFormat/>
    <w:uiPriority w:val="43"/>
    <w:tblStylePr w:type="firstRow">
      <w:rPr>
        <w:b/>
        <w:bCs/>
        <w:caps/>
      </w:rPr>
      <w:tcPr>
        <w:tcBorders>
          <w:bottom w:val="single" w:color="7E7E7E" w:themeColor="text1" w:themeTint="80" w:sz="4" w:space="0"/>
        </w:tcBorders>
      </w:tcPr>
    </w:tblStylePr>
    <w:tblStylePr w:type="lastRow">
      <w:rPr>
        <w:b/>
        <w:bCs/>
        <w:caps/>
      </w:rPr>
      <w:tcPr>
        <w:tcBorders>
          <w:top w:val="nil"/>
        </w:tcBorders>
      </w:tcPr>
    </w:tblStylePr>
    <w:tblStylePr w:type="firstCol">
      <w:rPr>
        <w:b/>
        <w:bCs/>
        <w:caps/>
      </w:rPr>
      <w:tcPr>
        <w:tcBorders>
          <w:right w:val="single" w:color="7E7E7E" w:themeColor="text1" w:themeTint="80" w:sz="4" w:space="0"/>
        </w:tcBorders>
      </w:tcPr>
    </w:tblStylePr>
    <w:tblStylePr w:type="lastCol">
      <w:rPr>
        <w:b/>
        <w:bCs/>
        <w:caps/>
      </w:rPr>
      <w:tcPr>
        <w:tcBorders>
          <w:left w:val="nil"/>
        </w:tcBorders>
      </w:tcPr>
    </w:tblStylePr>
    <w:tblStylePr w:type="band1Vert">
      <w:tcPr>
        <w:shd w:val="clear" w:color="auto" w:fill="BCE1C0" w:themeFill="background1" w:themeFillShade="F2"/>
      </w:tcPr>
    </w:tblStylePr>
    <w:tblStylePr w:type="band1Horz">
      <w:tcPr>
        <w:shd w:val="clear" w:color="auto" w:fill="BCE1C0" w:themeFill="background1" w:themeFillShade="F2"/>
      </w:tcPr>
    </w:tblStylePr>
    <w:tblStylePr w:type="neCell">
      <w:tcPr>
        <w:tcBorders>
          <w:left w:val="nil"/>
        </w:tcBorders>
      </w:tcPr>
    </w:tblStylePr>
    <w:tblStylePr w:type="nwCell">
      <w:tcPr>
        <w:tcBorders>
          <w:right w:val="nil"/>
        </w:tcBorders>
      </w:tcPr>
    </w:tblStylePr>
  </w:style>
  <w:style w:type="table" w:customStyle="1" w:styleId="36">
    <w:name w:val="无格式表格 41"/>
    <w:basedOn w:val="17"/>
    <w:qFormat/>
    <w:uiPriority w:val="44"/>
    <w:tblStylePr w:type="firstRow">
      <w:rPr>
        <w:b/>
        <w:bCs/>
      </w:rPr>
    </w:tblStylePr>
    <w:tblStylePr w:type="lastRow">
      <w:rPr>
        <w:b/>
        <w:bCs/>
      </w:rPr>
    </w:tblStylePr>
    <w:tblStylePr w:type="firstCol">
      <w:rPr>
        <w:b/>
        <w:bCs/>
      </w:rPr>
    </w:tblStylePr>
    <w:tblStylePr w:type="lastCol">
      <w:rPr>
        <w:b/>
        <w:bCs/>
      </w:rPr>
    </w:tblStylePr>
    <w:tblStylePr w:type="band1Vert">
      <w:tcPr>
        <w:shd w:val="clear" w:color="auto" w:fill="BCE1C0" w:themeFill="background1" w:themeFillShade="F2"/>
      </w:tcPr>
    </w:tblStylePr>
    <w:tblStylePr w:type="band1Horz">
      <w:tcPr>
        <w:shd w:val="clear" w:color="auto" w:fill="BCE1C0" w:themeFill="background1" w:themeFillShade="F2"/>
      </w:tcPr>
    </w:tblStylePr>
  </w:style>
  <w:style w:type="table" w:customStyle="1" w:styleId="37">
    <w:name w:val="无格式表格 51"/>
    <w:basedOn w:val="17"/>
    <w:qFormat/>
    <w:uiPriority w:val="45"/>
    <w:tblStylePr w:type="firstRow">
      <w:rPr>
        <w:rFonts w:asciiTheme="majorHAnsi" w:hAnsiTheme="majorHAnsi" w:eastAsiaTheme="majorEastAsia" w:cstheme="majorBidi"/>
        <w:i/>
        <w:iCs/>
        <w:sz w:val="26"/>
      </w:rPr>
      <w:tcPr>
        <w:tcBorders>
          <w:bottom w:val="single" w:color="7E7E7E" w:themeColor="text1" w:themeTint="80" w:sz="4" w:space="0"/>
        </w:tcBorders>
        <w:shd w:val="clear" w:color="auto" w:fill="CCE8CF" w:themeFill="background1"/>
      </w:tcPr>
    </w:tblStylePr>
    <w:tblStylePr w:type="lastRow">
      <w:rPr>
        <w:rFonts w:asciiTheme="majorHAnsi" w:hAnsiTheme="majorHAnsi" w:eastAsiaTheme="majorEastAsia" w:cstheme="majorBidi"/>
        <w:i/>
        <w:iCs/>
        <w:sz w:val="26"/>
      </w:rPr>
      <w:tcPr>
        <w:tcBorders>
          <w:top w:val="single" w:color="7E7E7E" w:themeColor="text1" w:themeTint="80" w:sz="4" w:space="0"/>
        </w:tcBorders>
        <w:shd w:val="clear" w:color="auto" w:fill="CCE8CF" w:themeFill="background1"/>
      </w:tcPr>
    </w:tblStylePr>
    <w:tblStylePr w:type="firstCol">
      <w:pPr>
        <w:jc w:val="right"/>
      </w:pPr>
      <w:rPr>
        <w:rFonts w:asciiTheme="majorHAnsi" w:hAnsiTheme="majorHAnsi" w:eastAsiaTheme="majorEastAsia" w:cstheme="majorBidi"/>
        <w:i/>
        <w:iCs/>
        <w:sz w:val="26"/>
      </w:rPr>
      <w:tcPr>
        <w:tcBorders>
          <w:right w:val="single" w:color="7E7E7E" w:themeColor="text1" w:themeTint="80" w:sz="4" w:space="0"/>
        </w:tcBorders>
        <w:shd w:val="clear" w:color="auto" w:fill="CCE8CF" w:themeFill="background1"/>
      </w:tcPr>
    </w:tblStylePr>
    <w:tblStylePr w:type="lastCol">
      <w:rPr>
        <w:rFonts w:asciiTheme="majorHAnsi" w:hAnsiTheme="majorHAnsi" w:eastAsiaTheme="majorEastAsia" w:cstheme="majorBidi"/>
        <w:i/>
        <w:iCs/>
        <w:sz w:val="26"/>
      </w:rPr>
      <w:tcPr>
        <w:tcBorders>
          <w:left w:val="single" w:color="7E7E7E" w:themeColor="text1" w:themeTint="80" w:sz="4" w:space="0"/>
        </w:tcBorders>
        <w:shd w:val="clear" w:color="auto" w:fill="CCE8CF" w:themeFill="background1"/>
      </w:tcPr>
    </w:tblStylePr>
    <w:tblStylePr w:type="band1Vert">
      <w:tcPr>
        <w:shd w:val="clear" w:color="auto" w:fill="BCE1C0" w:themeFill="background1" w:themeFillShade="F2"/>
      </w:tcPr>
    </w:tblStylePr>
    <w:tblStylePr w:type="band1Horz">
      <w:tcPr>
        <w:shd w:val="clear" w:color="auto" w:fill="BCE1C0" w:themeFill="background1" w:themeFillShade="F2"/>
      </w:tcPr>
    </w:tblStylePr>
    <w:tblStylePr w:type="neCell">
      <w:tcPr>
        <w:tcBorders>
          <w:left w:val="nil"/>
        </w:tcBorders>
      </w:tcPr>
    </w:tblStylePr>
    <w:tblStylePr w:type="nwCell">
      <w:tcPr>
        <w:tcBorders>
          <w:right w:val="nil"/>
        </w:tcBorders>
      </w:tcPr>
    </w:tblStylePr>
    <w:tblStylePr w:type="seCell">
      <w:tcPr>
        <w:tcBorders>
          <w:left w:val="nil"/>
        </w:tcBorders>
      </w:tcPr>
    </w:tblStylePr>
    <w:tblStylePr w:type="swCell">
      <w:tcPr>
        <w:tcBorders>
          <w:right w:val="nil"/>
        </w:tcBorders>
      </w:tcPr>
    </w:tblStylePr>
  </w:style>
  <w:style w:type="table" w:customStyle="1" w:styleId="38">
    <w:name w:val="清单表 1 浅色1"/>
    <w:basedOn w:val="17"/>
    <w:qFormat/>
    <w:uiPriority w:val="46"/>
    <w:tblStylePr w:type="firstRow">
      <w:rPr>
        <w:b/>
        <w:bCs/>
      </w:rPr>
      <w:tcPr>
        <w:tcBorders>
          <w:bottom w:val="single" w:color="666666" w:themeColor="text1" w:themeTint="99" w:sz="4" w:space="0"/>
        </w:tcBorders>
      </w:tcPr>
    </w:tblStylePr>
    <w:tblStylePr w:type="lastRow">
      <w:rPr>
        <w:b/>
        <w:bCs/>
      </w:rPr>
      <w:tcPr>
        <w:tcBorders>
          <w:top w:val="single" w:color="666666" w:themeColor="text1" w:themeTint="99" w:sz="4" w:space="0"/>
        </w:tcBorders>
      </w:tcPr>
    </w:tblStylePr>
    <w:tblStylePr w:type="firstCol">
      <w:rPr>
        <w:b/>
        <w:bCs/>
      </w:rPr>
    </w:tblStylePr>
    <w:tblStylePr w:type="lastCol">
      <w:rPr>
        <w:b/>
        <w:bCs/>
      </w:rPr>
    </w:tblStylePr>
    <w:tblStylePr w:type="band1Vert">
      <w:tcPr>
        <w:shd w:val="clear" w:color="auto" w:fill="CCCCCC" w:themeFill="text1" w:themeFillTint="33"/>
      </w:tcPr>
    </w:tblStylePr>
    <w:tblStylePr w:type="band1Horz">
      <w:tcPr>
        <w:shd w:val="clear" w:color="auto" w:fill="CCCCCC" w:themeFill="text1" w:themeFillTint="33"/>
      </w:tcPr>
    </w:tblStylePr>
  </w:style>
  <w:style w:type="table" w:customStyle="1" w:styleId="39">
    <w:name w:val="清单表 2 - 着色 31"/>
    <w:basedOn w:val="17"/>
    <w:qFormat/>
    <w:uiPriority w:val="47"/>
    <w:tblPr>
      <w:tblBorders>
        <w:top w:val="single" w:color="C8C8C8" w:themeColor="accent3" w:themeTint="99" w:sz="4" w:space="0"/>
        <w:bottom w:val="single" w:color="C8C8C8" w:themeColor="accent3" w:themeTint="99" w:sz="4" w:space="0"/>
        <w:insideH w:val="single" w:color="C8C8C8" w:themeColor="accent3" w:themeTint="99" w:sz="4" w:space="0"/>
      </w:tblBorders>
    </w:tblPr>
    <w:tblStylePr w:type="firstRow">
      <w:rPr>
        <w:b/>
        <w:bCs/>
      </w:rPr>
    </w:tblStylePr>
    <w:tblStylePr w:type="lastRow">
      <w:rPr>
        <w:b/>
        <w:bCs/>
      </w:rPr>
    </w:tblStylePr>
    <w:tblStylePr w:type="firstCol">
      <w:rPr>
        <w:b/>
        <w:bCs/>
      </w:rPr>
    </w:tblStylePr>
    <w:tblStylePr w:type="lastCol">
      <w:rPr>
        <w:b/>
        <w:bCs/>
      </w:rPr>
    </w:tblStylePr>
    <w:tblStylePr w:type="band1Vert">
      <w:tcPr>
        <w:shd w:val="clear" w:color="auto" w:fill="ECECEC" w:themeFill="accent3" w:themeFillTint="33"/>
      </w:tcPr>
    </w:tblStylePr>
    <w:tblStylePr w:type="band1Horz">
      <w:tcPr>
        <w:shd w:val="clear" w:color="auto" w:fill="ECECEC" w:themeFill="accent3" w:themeFillTint="33"/>
      </w:tcPr>
    </w:tblStylePr>
  </w:style>
  <w:style w:type="character" w:customStyle="1" w:styleId="40">
    <w:name w:val="页眉 字符"/>
    <w:basedOn w:val="19"/>
    <w:link w:val="14"/>
    <w:qFormat/>
    <w:uiPriority w:val="99"/>
    <w:rPr>
      <w:rFonts w:eastAsia="宋体"/>
      <w:sz w:val="18"/>
      <w:szCs w:val="18"/>
    </w:rPr>
  </w:style>
  <w:style w:type="character" w:customStyle="1" w:styleId="41">
    <w:name w:val="页脚 字符"/>
    <w:basedOn w:val="19"/>
    <w:link w:val="13"/>
    <w:qFormat/>
    <w:uiPriority w:val="99"/>
    <w:rPr>
      <w:rFonts w:eastAsia="宋体"/>
      <w:sz w:val="18"/>
      <w:szCs w:val="18"/>
    </w:rPr>
  </w:style>
  <w:style w:type="paragraph" w:customStyle="1" w:styleId="42">
    <w:name w:val="TOC 标题1"/>
    <w:basedOn w:val="4"/>
    <w:next w:val="1"/>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2F5597" w:themeColor="accent1" w:themeShade="BF"/>
      <w:kern w:val="0"/>
      <w:sz w:val="32"/>
      <w:szCs w:val="32"/>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0" Type="http://schemas.openxmlformats.org/officeDocument/2006/relationships/fontTable" Target="fontTable.xml"/><Relationship Id="rId2" Type="http://schemas.openxmlformats.org/officeDocument/2006/relationships/settings" Target="settings.xml"/><Relationship Id="rId19" Type="http://schemas.openxmlformats.org/officeDocument/2006/relationships/customXml" Target="../customXml/item2.xml"/><Relationship Id="rId18" Type="http://schemas.openxmlformats.org/officeDocument/2006/relationships/numbering" Target="numbering.xml"/><Relationship Id="rId17" Type="http://schemas.openxmlformats.org/officeDocument/2006/relationships/customXml" Target="../customXml/item1.xml"/><Relationship Id="rId16" Type="http://schemas.openxmlformats.org/officeDocument/2006/relationships/image" Target="media/image5.png"/><Relationship Id="rId15" Type="http://schemas.openxmlformats.org/officeDocument/2006/relationships/image" Target="media/image4.png"/><Relationship Id="rId14" Type="http://schemas.openxmlformats.org/officeDocument/2006/relationships/image" Target="media/image3.png"/><Relationship Id="rId13" Type="http://schemas.openxmlformats.org/officeDocument/2006/relationships/image" Target="media/image2.jpeg"/><Relationship Id="rId12" Type="http://schemas.openxmlformats.org/officeDocument/2006/relationships/image" Target="media/image1.png"/><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665CAB2-CB60-417F-BD3F-849ABD9B4951}">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11</Pages>
  <Words>693</Words>
  <Characters>3952</Characters>
  <Lines>32</Lines>
  <Paragraphs>9</Paragraphs>
  <TotalTime>158</TotalTime>
  <ScaleCrop>false</ScaleCrop>
  <LinksUpToDate>false</LinksUpToDate>
  <CharactersWithSpaces>4636</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2019-08-13T02:34:00Z</dcterms:created>
  <dc:creator>辰 梁</dc:creator>
  <cp:lastModifiedBy>严阵以待</cp:lastModifiedBy>
  <dcterms:modified xsi:type="dcterms:W3CDTF">2021-09-10T09:11:56Z</dcterms:modified>
  <cp:revision>21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95E6E4E3BB5341D4900AC53EC3200821</vt:lpwstr>
  </property>
</Properties>
</file>