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52"/>
        </w:rPr>
      </w:pPr>
      <w:r>
        <w:rPr>
          <w:rFonts w:hint="eastAsia" w:ascii="仿宋" w:hAnsi="仿宋" w:eastAsia="仿宋" w:cs="仿宋"/>
          <w:sz w:val="52"/>
        </w:rPr>
        <w:t>郑州大学</w:t>
      </w:r>
      <w:r>
        <w:rPr>
          <w:rFonts w:hint="eastAsia" w:ascii="仿宋" w:hAnsi="仿宋" w:eastAsia="仿宋" w:cs="仿宋"/>
          <w:sz w:val="52"/>
          <w:u w:val="none"/>
        </w:rPr>
        <w:t>政府</w:t>
      </w:r>
      <w:r>
        <w:rPr>
          <w:rFonts w:hint="eastAsia" w:ascii="仿宋" w:hAnsi="仿宋" w:eastAsia="仿宋" w:cs="仿宋"/>
          <w:sz w:val="52"/>
        </w:rPr>
        <w:t>采购货物合同</w:t>
      </w: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sz w:val="24"/>
          <w:szCs w:val="24"/>
        </w:rPr>
      </w:pPr>
      <w:r>
        <w:rPr>
          <w:rFonts w:hint="eastAsia" w:ascii="仿宋" w:hAnsi="仿宋" w:eastAsia="仿宋" w:cs="仿宋"/>
          <w:b/>
          <w:sz w:val="24"/>
          <w:szCs w:val="24"/>
        </w:rPr>
        <w:t>甲方</w:t>
      </w:r>
      <w:r>
        <w:rPr>
          <w:rFonts w:hint="eastAsia" w:ascii="仿宋" w:hAnsi="仿宋" w:eastAsia="仿宋" w:cs="仿宋"/>
          <w:sz w:val="24"/>
          <w:szCs w:val="24"/>
        </w:rPr>
        <w:t>：</w:t>
      </w:r>
      <w:r>
        <w:rPr>
          <w:rFonts w:hint="eastAsia" w:ascii="仿宋" w:hAnsi="仿宋" w:eastAsia="仿宋" w:cs="仿宋"/>
          <w:sz w:val="24"/>
          <w:szCs w:val="24"/>
          <w:u w:val="single"/>
        </w:rPr>
        <w:t xml:space="preserve">郑州大学  </w:t>
      </w:r>
      <w:r>
        <w:rPr>
          <w:rFonts w:hint="eastAsia" w:ascii="仿宋" w:hAnsi="仿宋" w:eastAsia="仿宋" w:cs="仿宋"/>
          <w:sz w:val="24"/>
          <w:szCs w:val="24"/>
        </w:rPr>
        <w:t xml:space="preserve">                              </w:t>
      </w:r>
    </w:p>
    <w:p>
      <w:pPr>
        <w:spacing w:line="360" w:lineRule="auto"/>
        <w:rPr>
          <w:rFonts w:hint="eastAsia" w:ascii="仿宋" w:hAnsi="仿宋" w:eastAsia="仿宋" w:cs="仿宋"/>
          <w:sz w:val="24"/>
          <w:szCs w:val="24"/>
        </w:rPr>
      </w:pPr>
      <w:r>
        <w:rPr>
          <w:rFonts w:hint="eastAsia" w:ascii="仿宋" w:hAnsi="仿宋" w:eastAsia="仿宋" w:cs="仿宋"/>
          <w:b/>
          <w:sz w:val="24"/>
          <w:szCs w:val="24"/>
        </w:rPr>
        <w:t>乙方</w:t>
      </w:r>
      <w:r>
        <w:rPr>
          <w:rFonts w:hint="eastAsia" w:ascii="仿宋" w:hAnsi="仿宋" w:eastAsia="仿宋" w:cs="仿宋"/>
          <w:sz w:val="24"/>
          <w:szCs w:val="24"/>
        </w:rPr>
        <w:t>：</w:t>
      </w:r>
      <w:r>
        <w:rPr>
          <w:rFonts w:hint="eastAsia" w:ascii="仿宋" w:hAnsi="仿宋" w:eastAsia="仿宋" w:cs="仿宋"/>
          <w:sz w:val="24"/>
          <w:szCs w:val="24"/>
          <w:u w:val="single"/>
        </w:rPr>
        <w:t xml:space="preserve">郑州恒茂机电科技有限公司 </w:t>
      </w:r>
      <w:r>
        <w:rPr>
          <w:rFonts w:hint="eastAsia" w:ascii="仿宋" w:hAnsi="仿宋" w:eastAsia="仿宋" w:cs="仿宋"/>
          <w:sz w:val="24"/>
          <w:szCs w:val="24"/>
        </w:rPr>
        <w:t xml:space="preserve">                              </w:t>
      </w:r>
    </w:p>
    <w:p>
      <w:pPr>
        <w:adjustRightInd w:val="0"/>
        <w:snapToGrid w:val="0"/>
        <w:spacing w:line="480" w:lineRule="auto"/>
        <w:rPr>
          <w:rFonts w:hint="eastAsia" w:ascii="仿宋" w:hAnsi="仿宋" w:eastAsia="仿宋" w:cs="仿宋"/>
          <w:sz w:val="24"/>
          <w:szCs w:val="24"/>
        </w:rPr>
      </w:pPr>
    </w:p>
    <w:p>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本合同于</w:t>
      </w:r>
      <w:r>
        <w:rPr>
          <w:rFonts w:hint="eastAsia" w:ascii="仿宋" w:hAnsi="仿宋" w:eastAsia="仿宋" w:cs="仿宋"/>
          <w:sz w:val="24"/>
          <w:szCs w:val="24"/>
          <w:highlight w:val="none"/>
          <w:u w:val="single"/>
        </w:rPr>
        <w:t xml:space="preserve"> 2022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lang w:val="en-US" w:eastAsia="zh-CN"/>
        </w:rPr>
        <w:t>02</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10</w:t>
      </w:r>
      <w:r>
        <w:rPr>
          <w:rFonts w:hint="eastAsia" w:ascii="仿宋" w:hAnsi="仿宋" w:eastAsia="仿宋" w:cs="仿宋"/>
          <w:sz w:val="24"/>
          <w:szCs w:val="24"/>
          <w:highlight w:val="none"/>
        </w:rPr>
        <w:t>日由甲乙双方按下述条款签署。</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none"/>
        </w:rPr>
        <w:t>在甲方为获得</w:t>
      </w:r>
      <w:r>
        <w:rPr>
          <w:rFonts w:hint="eastAsia" w:ascii="仿宋" w:hAnsi="仿宋" w:eastAsia="仿宋" w:cs="仿宋"/>
          <w:sz w:val="24"/>
          <w:szCs w:val="24"/>
          <w:highlight w:val="none"/>
          <w:u w:val="single"/>
        </w:rPr>
        <w:t xml:space="preserve"> 铝电解质过热度测试仪 </w:t>
      </w:r>
      <w:r>
        <w:rPr>
          <w:rFonts w:hint="eastAsia" w:ascii="仿宋" w:hAnsi="仿宋" w:eastAsia="仿宋" w:cs="仿宋"/>
          <w:sz w:val="24"/>
          <w:szCs w:val="24"/>
          <w:highlight w:val="none"/>
        </w:rPr>
        <w:t>货物和伴随服务实施公开招标情况下，乙方参加了公开招标。通过公开招标，甲方接受了乙方以总金额</w:t>
      </w:r>
      <w:r>
        <w:rPr>
          <w:rFonts w:hint="eastAsia" w:ascii="仿宋" w:hAnsi="仿宋" w:eastAsia="仿宋" w:cs="仿宋"/>
          <w:sz w:val="24"/>
          <w:szCs w:val="24"/>
          <w:highlight w:val="none"/>
          <w:u w:val="single"/>
        </w:rPr>
        <w:t>：（人民币）叁拾贰万伍仟元整</w:t>
      </w:r>
      <w:r>
        <w:rPr>
          <w:rFonts w:hint="eastAsia" w:ascii="仿宋" w:hAnsi="仿宋" w:eastAsia="仿宋" w:cs="仿宋"/>
          <w:sz w:val="24"/>
          <w:szCs w:val="24"/>
          <w:highlight w:val="none"/>
          <w:u w:val="single"/>
          <w:lang w:eastAsia="zh-CN"/>
        </w:rPr>
        <w:t>（</w:t>
      </w:r>
      <w:r>
        <w:rPr>
          <w:rFonts w:hint="eastAsia" w:ascii="仿宋" w:hAnsi="仿宋" w:eastAsia="仿宋" w:cs="仿宋"/>
          <w:sz w:val="24"/>
          <w:szCs w:val="24"/>
          <w:highlight w:val="none"/>
          <w:u w:val="single"/>
        </w:rPr>
        <w:t>325000.00</w:t>
      </w:r>
      <w:r>
        <w:rPr>
          <w:rFonts w:hint="eastAsia" w:ascii="仿宋" w:hAnsi="仿宋" w:eastAsia="仿宋" w:cs="仿宋"/>
          <w:sz w:val="24"/>
          <w:szCs w:val="24"/>
          <w:highlight w:val="none"/>
          <w:u w:val="single"/>
          <w:lang w:eastAsia="zh-CN"/>
        </w:rPr>
        <w:t>元）</w:t>
      </w:r>
      <w:r>
        <w:rPr>
          <w:rFonts w:hint="eastAsia" w:ascii="仿宋" w:hAnsi="仿宋" w:eastAsia="仿宋" w:cs="仿宋"/>
          <w:sz w:val="24"/>
          <w:szCs w:val="24"/>
          <w:highlight w:val="none"/>
        </w:rPr>
        <w:t>（以下简称“合同价”）的</w:t>
      </w:r>
      <w:r>
        <w:rPr>
          <w:rFonts w:hint="eastAsia" w:ascii="仿宋" w:hAnsi="仿宋" w:eastAsia="仿宋" w:cs="仿宋"/>
          <w:sz w:val="24"/>
          <w:szCs w:val="24"/>
          <w:highlight w:val="none"/>
          <w:lang w:eastAsia="zh-CN"/>
        </w:rPr>
        <w:t>投</w:t>
      </w:r>
      <w:r>
        <w:rPr>
          <w:rFonts w:hint="eastAsia" w:ascii="仿宋" w:hAnsi="仿宋" w:eastAsia="仿宋" w:cs="仿宋"/>
          <w:sz w:val="24"/>
          <w:szCs w:val="24"/>
          <w:highlight w:val="none"/>
        </w:rPr>
        <w:t>标。双方以上述事实为基础，</w:t>
      </w:r>
      <w:r>
        <w:rPr>
          <w:rFonts w:hint="eastAsia" w:ascii="仿宋" w:hAnsi="仿宋" w:eastAsia="仿宋" w:cs="仿宋"/>
          <w:sz w:val="24"/>
          <w:szCs w:val="24"/>
        </w:rPr>
        <w:t>签订本合同。</w:t>
      </w:r>
    </w:p>
    <w:p>
      <w:p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一、供货范围及分项价格表（详见附件1、附件2）</w:t>
      </w:r>
    </w:p>
    <w:p>
      <w:pPr>
        <w:adjustRightInd w:val="0"/>
        <w:snapToGrid w:val="0"/>
        <w:spacing w:line="360" w:lineRule="auto"/>
        <w:ind w:firstLine="570"/>
        <w:rPr>
          <w:rFonts w:hint="eastAsia" w:ascii="仿宋" w:hAnsi="仿宋" w:eastAsia="仿宋" w:cs="仿宋"/>
          <w:sz w:val="24"/>
          <w:szCs w:val="24"/>
        </w:rPr>
      </w:pPr>
      <w:r>
        <w:rPr>
          <w:rFonts w:hint="eastAsia" w:ascii="仿宋" w:hAnsi="仿宋" w:eastAsia="仿宋" w:cs="仿宋"/>
          <w:sz w:val="24"/>
          <w:szCs w:val="24"/>
        </w:rPr>
        <w:t>1.本合同所指设备详见附件1、附件2 ，此附件是合同中不可分割的部分。</w:t>
      </w:r>
    </w:p>
    <w:p>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 xml:space="preserve">     2.总价中包括设备金额、包装、运输保险费、装卸费、安装及相关材料费、调试费、软件费、检验费及培训所需费用及税金等，甲方不再另行支付任何费用。</w:t>
      </w:r>
    </w:p>
    <w:p>
      <w:p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二、质量及技术规格要求</w:t>
      </w:r>
    </w:p>
    <w:p>
      <w:pPr>
        <w:adjustRightInd w:val="0"/>
        <w:snapToGrid w:val="0"/>
        <w:spacing w:line="360" w:lineRule="auto"/>
        <w:ind w:firstLine="570"/>
        <w:rPr>
          <w:rFonts w:hint="eastAsia" w:ascii="仿宋" w:hAnsi="仿宋" w:eastAsia="仿宋" w:cs="仿宋"/>
          <w:sz w:val="24"/>
          <w:szCs w:val="24"/>
        </w:rPr>
      </w:pPr>
      <w:r>
        <w:rPr>
          <w:rFonts w:hint="eastAsia" w:ascii="仿宋" w:hAnsi="仿宋" w:eastAsia="仿宋" w:cs="仿宋"/>
          <w:sz w:val="24"/>
          <w:szCs w:val="24"/>
        </w:rPr>
        <w:t>乙方须按合同要求提供全新设备（包括零部件、附件、备品备件等），设备的质量标准、规格型号、具体配置、数量等符合招标标书要求，其产品为原厂生产，且应达到乙方投标文件及澄清文件中明确的技术标准。</w:t>
      </w:r>
    </w:p>
    <w:p>
      <w:pPr>
        <w:adjustRightInd w:val="0"/>
        <w:snapToGrid w:val="0"/>
        <w:spacing w:line="360" w:lineRule="auto"/>
        <w:ind w:firstLine="570"/>
        <w:rPr>
          <w:rFonts w:hint="eastAsia" w:ascii="仿宋" w:hAnsi="仿宋" w:eastAsia="仿宋" w:cs="仿宋"/>
          <w:sz w:val="24"/>
          <w:szCs w:val="24"/>
        </w:rPr>
      </w:pPr>
      <w:r>
        <w:rPr>
          <w:rFonts w:hint="eastAsia" w:ascii="仿宋" w:hAnsi="仿宋" w:eastAsia="仿宋" w:cs="仿宋"/>
          <w:sz w:val="24"/>
          <w:szCs w:val="24"/>
        </w:rPr>
        <w:t>乙方应在本合同生</w:t>
      </w:r>
      <w:r>
        <w:rPr>
          <w:rFonts w:hint="eastAsia" w:ascii="仿宋" w:hAnsi="仿宋" w:eastAsia="仿宋" w:cs="仿宋"/>
          <w:sz w:val="24"/>
          <w:szCs w:val="24"/>
          <w:highlight w:val="none"/>
        </w:rPr>
        <w:t>效后7个工作日内向甲方提供安装计划及质量控制规范；并于2月</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日前进驻安装现场；所有设备运送到甲方指定地点后，双方在10日内共同验收并签署验收意见。如甲方无正当理由，不得拒绝接收；在安装</w:t>
      </w:r>
      <w:r>
        <w:rPr>
          <w:rFonts w:hint="eastAsia" w:ascii="仿宋" w:hAnsi="仿宋" w:eastAsia="仿宋" w:cs="仿宋"/>
          <w:sz w:val="24"/>
          <w:szCs w:val="24"/>
        </w:rPr>
        <w:t>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pPr>
        <w:numPr>
          <w:ilvl w:val="0"/>
          <w:numId w:val="1"/>
        </w:numPr>
        <w:adjustRightInd w:val="0"/>
        <w:snapToGrid w:val="0"/>
        <w:spacing w:line="360" w:lineRule="auto"/>
        <w:ind w:firstLine="560" w:firstLineChars="200"/>
        <w:outlineLvl w:val="0"/>
        <w:rPr>
          <w:rFonts w:hint="eastAsia" w:ascii="仿宋" w:hAnsi="仿宋" w:eastAsia="仿宋" w:cs="仿宋"/>
          <w:color w:val="000000"/>
          <w:sz w:val="24"/>
          <w:szCs w:val="24"/>
        </w:rPr>
      </w:pPr>
      <w:r>
        <w:rPr>
          <w:rFonts w:hint="eastAsia" w:ascii="仿宋" w:hAnsi="仿宋" w:eastAsia="仿宋" w:cs="仿宋"/>
          <w:b/>
          <w:bCs/>
          <w:sz w:val="28"/>
          <w:szCs w:val="28"/>
        </w:rPr>
        <w:t>包装与运输</w:t>
      </w:r>
    </w:p>
    <w:p>
      <w:pPr>
        <w:adjustRightInd w:val="0"/>
        <w:snapToGrid w:val="0"/>
        <w:spacing w:line="360" w:lineRule="auto"/>
        <w:ind w:firstLine="570"/>
        <w:rPr>
          <w:rFonts w:hint="eastAsia" w:ascii="仿宋" w:hAnsi="仿宋" w:eastAsia="仿宋" w:cs="仿宋"/>
          <w:sz w:val="24"/>
          <w:szCs w:val="24"/>
        </w:rPr>
      </w:pPr>
      <w:r>
        <w:rPr>
          <w:rFonts w:hint="eastAsia" w:ascii="仿宋" w:hAnsi="仿宋" w:eastAsia="仿宋" w:cs="仿宋"/>
          <w:sz w:val="24"/>
          <w:szCs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pPr>
        <w:adjustRightInd w:val="0"/>
        <w:snapToGrid w:val="0"/>
        <w:spacing w:line="360" w:lineRule="auto"/>
        <w:ind w:firstLine="560" w:firstLineChars="200"/>
        <w:outlineLvl w:val="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四、质保期与售后服务（详见附件3）</w:t>
      </w:r>
    </w:p>
    <w:p>
      <w:pPr>
        <w:adjustRightInd w:val="0"/>
        <w:snapToGrid w:val="0"/>
        <w:spacing w:line="36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highlight w:val="none"/>
        </w:rPr>
        <w:t>1.所有设备</w:t>
      </w:r>
      <w:r>
        <w:rPr>
          <w:rFonts w:hint="eastAsia" w:ascii="仿宋" w:hAnsi="仿宋" w:eastAsia="仿宋" w:cs="仿宋"/>
          <w:sz w:val="24"/>
          <w:szCs w:val="24"/>
          <w:highlight w:val="none"/>
        </w:rPr>
        <w:t>免费质保期为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3</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年（自验收合格并交付给甲方之日起计算），</w:t>
      </w:r>
      <w:r>
        <w:rPr>
          <w:rFonts w:hint="eastAsia" w:ascii="仿宋" w:hAnsi="仿宋" w:eastAsia="仿宋" w:cs="仿宋"/>
          <w:color w:val="000000"/>
          <w:sz w:val="24"/>
          <w:szCs w:val="24"/>
          <w:highlight w:val="none"/>
        </w:rPr>
        <w:t>终</w:t>
      </w:r>
      <w:r>
        <w:rPr>
          <w:rFonts w:hint="eastAsia" w:ascii="仿宋" w:hAnsi="仿宋" w:eastAsia="仿宋" w:cs="仿宋"/>
          <w:color w:val="000000"/>
          <w:sz w:val="24"/>
          <w:szCs w:val="24"/>
        </w:rPr>
        <w:t>身维护、维修。</w:t>
      </w:r>
    </w:p>
    <w:p>
      <w:pPr>
        <w:adjustRightInd w:val="0"/>
        <w:snapToGrid w:val="0"/>
        <w:spacing w:line="360" w:lineRule="auto"/>
        <w:ind w:firstLine="480"/>
        <w:rPr>
          <w:rFonts w:hint="eastAsia" w:ascii="仿宋" w:hAnsi="仿宋" w:eastAsia="仿宋" w:cs="仿宋"/>
          <w:color w:val="000000"/>
          <w:sz w:val="24"/>
          <w:szCs w:val="24"/>
          <w:highlight w:val="none"/>
        </w:rPr>
      </w:pPr>
      <w:r>
        <w:rPr>
          <w:rFonts w:hint="eastAsia" w:ascii="仿宋" w:hAnsi="仿宋" w:eastAsia="仿宋" w:cs="仿宋"/>
          <w:color w:val="000000"/>
          <w:sz w:val="24"/>
          <w:szCs w:val="24"/>
        </w:rPr>
        <w:t>2.在质保期内，因产品质量造成的问题，供货方免费提供配件并现场维修，且所提供的任何零配件必须是其原设备厂家生产的或经其认可的。产品存在质量问题，</w:t>
      </w:r>
      <w:r>
        <w:rPr>
          <w:rFonts w:hint="eastAsia" w:ascii="仿宋" w:hAnsi="仿宋" w:eastAsia="仿宋" w:cs="仿宋"/>
          <w:color w:val="000000"/>
          <w:sz w:val="24"/>
          <w:szCs w:val="24"/>
          <w:highlight w:val="none"/>
        </w:rPr>
        <w:t>甲方有权要求乙方换货。</w:t>
      </w:r>
    </w:p>
    <w:p>
      <w:pPr>
        <w:adjustRightInd w:val="0"/>
        <w:snapToGrid w:val="0"/>
        <w:spacing w:line="360" w:lineRule="auto"/>
        <w:ind w:firstLine="48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3.乙方须提供一年</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1</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次全免费（配件+人力）对产品设备的维护保养。</w:t>
      </w:r>
    </w:p>
    <w:p>
      <w:pPr>
        <w:adjustRightInd w:val="0"/>
        <w:snapToGrid w:val="0"/>
        <w:spacing w:line="360" w:lineRule="auto"/>
        <w:ind w:firstLine="48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4.乙方承诺凡设备出现故障，自接到甲方报修电话1小时内响应，3小时内到达现场，24小时内解决故障问题。保修期外只收取甲方零配件成本费，其他免费。</w:t>
      </w:r>
    </w:p>
    <w:p>
      <w:pPr>
        <w:adjustRightInd w:val="0"/>
        <w:snapToGrid w:val="0"/>
        <w:spacing w:line="360" w:lineRule="auto"/>
        <w:ind w:firstLine="48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5.乙方有责任对甲方相关人员实施免费的现场培训或集中培训措施，保证甲方相关人员能够独立操作、熟练使用、维护和管理有关设备。                                                                                                                    </w:t>
      </w:r>
    </w:p>
    <w:p>
      <w:pPr>
        <w:adjustRightInd w:val="0"/>
        <w:snapToGrid w:val="0"/>
        <w:spacing w:line="360" w:lineRule="auto"/>
        <w:ind w:firstLine="480"/>
        <w:rPr>
          <w:rFonts w:hint="eastAsia" w:ascii="仿宋" w:hAnsi="仿宋" w:eastAsia="仿宋" w:cs="仿宋"/>
          <w:color w:val="000000"/>
          <w:sz w:val="24"/>
          <w:szCs w:val="24"/>
          <w:highlight w:val="none"/>
          <w:u w:val="single"/>
        </w:rPr>
      </w:pPr>
      <w:r>
        <w:rPr>
          <w:rFonts w:hint="eastAsia" w:ascii="仿宋" w:hAnsi="仿宋" w:eastAsia="仿宋" w:cs="仿宋"/>
          <w:color w:val="000000"/>
          <w:sz w:val="24"/>
          <w:szCs w:val="24"/>
          <w:highlight w:val="none"/>
        </w:rPr>
        <w:t>6.其它：</w:t>
      </w:r>
    </w:p>
    <w:p>
      <w:pPr>
        <w:adjustRightInd w:val="0"/>
        <w:snapToGrid w:val="0"/>
        <w:spacing w:line="360" w:lineRule="auto"/>
        <w:ind w:firstLine="560" w:firstLineChars="200"/>
        <w:outlineLvl w:val="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五、技术服务</w:t>
      </w:r>
    </w:p>
    <w:p>
      <w:pPr>
        <w:adjustRightInd w:val="0"/>
        <w:snapToGrid w:val="0"/>
        <w:spacing w:line="360" w:lineRule="auto"/>
        <w:ind w:firstLine="48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1.乙方向甲方免费提供标准安装调试及</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3</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人次国内操作培训。</w:t>
      </w:r>
    </w:p>
    <w:p>
      <w:pPr>
        <w:adjustRightInd w:val="0"/>
        <w:snapToGrid w:val="0"/>
        <w:spacing w:line="36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2.乙方向甲方提供设备详细技术、维修及使用资料。</w:t>
      </w:r>
    </w:p>
    <w:p>
      <w:pPr>
        <w:adjustRightInd w:val="0"/>
        <w:snapToGrid w:val="0"/>
        <w:spacing w:line="36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3.软件免费升级和使用。</w:t>
      </w:r>
    </w:p>
    <w:p>
      <w:p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六、专利权</w:t>
      </w:r>
    </w:p>
    <w:p>
      <w:pPr>
        <w:adjustRightInd w:val="0"/>
        <w:snapToGrid w:val="0"/>
        <w:spacing w:line="36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乙方应保证甲方在使用其所提供的产品时免受第三方提出侵犯其专利权、商标权或保护期的起诉。</w:t>
      </w:r>
    </w:p>
    <w:p>
      <w:pPr>
        <w:numPr>
          <w:ilvl w:val="0"/>
          <w:numId w:val="2"/>
        </w:num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免税</w:t>
      </w:r>
    </w:p>
    <w:p>
      <w:pPr>
        <w:adjustRightInd w:val="0"/>
        <w:snapToGrid w:val="0"/>
        <w:spacing w:line="360" w:lineRule="auto"/>
        <w:outlineLvl w:val="0"/>
        <w:rPr>
          <w:rFonts w:hint="eastAsia" w:ascii="仿宋" w:hAnsi="仿宋" w:eastAsia="仿宋" w:cs="仿宋"/>
          <w:color w:val="000000"/>
          <w:sz w:val="24"/>
          <w:szCs w:val="24"/>
        </w:rPr>
      </w:pPr>
      <w:r>
        <w:rPr>
          <w:rFonts w:hint="eastAsia" w:ascii="仿宋" w:hAnsi="仿宋" w:eastAsia="仿宋" w:cs="仿宋"/>
          <w:b/>
          <w:bCs/>
          <w:sz w:val="28"/>
          <w:szCs w:val="28"/>
        </w:rPr>
        <w:t xml:space="preserve">  </w:t>
      </w:r>
      <w:r>
        <w:rPr>
          <w:rFonts w:hint="eastAsia" w:ascii="仿宋" w:hAnsi="仿宋" w:eastAsia="仿宋" w:cs="仿宋"/>
          <w:color w:val="000000"/>
          <w:sz w:val="24"/>
          <w:szCs w:val="24"/>
        </w:rPr>
        <w:t xml:space="preserve"> 1.属于进口产品，用于教学和科研目的的，中标价为免税价格。</w:t>
      </w:r>
    </w:p>
    <w:p>
      <w:pPr>
        <w:adjustRightInd w:val="0"/>
        <w:snapToGrid w:val="0"/>
        <w:spacing w:line="360" w:lineRule="auto"/>
        <w:outlineLvl w:val="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2.免税产品应由甲乙双方依据海关的要求签订委托进口代理协议，确认甲乙双方的责任与义务。委托进口代理协议作为本合同的不可分割部分。</w:t>
      </w:r>
    </w:p>
    <w:p>
      <w:pPr>
        <w:adjustRightInd w:val="0"/>
        <w:snapToGrid w:val="0"/>
        <w:spacing w:line="360" w:lineRule="auto"/>
        <w:outlineLvl w:val="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3.免税产品通关时乙方必须进行商检，未商检的，造成的损失由乙方承担。</w:t>
      </w:r>
    </w:p>
    <w:p>
      <w:p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八、交货时间、地点与方式</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highlight w:val="none"/>
        </w:rPr>
        <w:t>乙方于</w:t>
      </w:r>
      <w:r>
        <w:rPr>
          <w:rFonts w:hint="eastAsia" w:ascii="仿宋" w:hAnsi="仿宋" w:eastAsia="仿宋" w:cs="仿宋"/>
          <w:b/>
          <w:bCs/>
          <w:sz w:val="24"/>
          <w:szCs w:val="24"/>
          <w:highlight w:val="none"/>
          <w:u w:val="single"/>
        </w:rPr>
        <w:t xml:space="preserve"> 2022 </w:t>
      </w:r>
      <w:r>
        <w:rPr>
          <w:rFonts w:hint="eastAsia" w:ascii="仿宋" w:hAnsi="仿宋" w:eastAsia="仿宋" w:cs="仿宋"/>
          <w:b/>
          <w:bCs/>
          <w:sz w:val="24"/>
          <w:szCs w:val="24"/>
          <w:highlight w:val="none"/>
        </w:rPr>
        <w:t>年</w:t>
      </w:r>
      <w:r>
        <w:rPr>
          <w:rFonts w:hint="eastAsia" w:ascii="仿宋" w:hAnsi="仿宋" w:eastAsia="仿宋" w:cs="仿宋"/>
          <w:b/>
          <w:bCs/>
          <w:sz w:val="24"/>
          <w:szCs w:val="24"/>
          <w:highlight w:val="none"/>
          <w:u w:val="single"/>
        </w:rPr>
        <w:t xml:space="preserve"> </w:t>
      </w:r>
      <w:r>
        <w:rPr>
          <w:rFonts w:hint="eastAsia" w:ascii="仿宋" w:hAnsi="仿宋" w:eastAsia="仿宋" w:cs="仿宋"/>
          <w:b/>
          <w:bCs/>
          <w:color w:val="000000"/>
          <w:sz w:val="24"/>
          <w:szCs w:val="24"/>
          <w:highlight w:val="none"/>
          <w:u w:val="single"/>
        </w:rPr>
        <w:t xml:space="preserve">2 </w:t>
      </w:r>
      <w:r>
        <w:rPr>
          <w:rFonts w:hint="eastAsia" w:ascii="仿宋" w:hAnsi="仿宋" w:eastAsia="仿宋" w:cs="仿宋"/>
          <w:b/>
          <w:bCs/>
          <w:sz w:val="24"/>
          <w:szCs w:val="24"/>
          <w:highlight w:val="none"/>
        </w:rPr>
        <w:t>月</w:t>
      </w:r>
      <w:r>
        <w:rPr>
          <w:rFonts w:hint="eastAsia" w:ascii="仿宋" w:hAnsi="仿宋" w:eastAsia="仿宋" w:cs="仿宋"/>
          <w:b/>
          <w:bCs/>
          <w:color w:val="000000"/>
          <w:sz w:val="24"/>
          <w:szCs w:val="24"/>
          <w:highlight w:val="none"/>
          <w:u w:val="single"/>
        </w:rPr>
        <w:t xml:space="preserve"> </w:t>
      </w:r>
      <w:r>
        <w:rPr>
          <w:rFonts w:hint="eastAsia" w:ascii="仿宋" w:hAnsi="仿宋" w:eastAsia="仿宋" w:cs="仿宋"/>
          <w:b/>
          <w:bCs/>
          <w:color w:val="000000"/>
          <w:sz w:val="24"/>
          <w:szCs w:val="24"/>
          <w:highlight w:val="none"/>
          <w:u w:val="single"/>
          <w:lang w:val="en-US" w:eastAsia="zh-CN"/>
        </w:rPr>
        <w:t>2</w:t>
      </w:r>
      <w:r>
        <w:rPr>
          <w:rFonts w:hint="eastAsia" w:ascii="仿宋" w:hAnsi="仿宋" w:eastAsia="仿宋" w:cs="仿宋"/>
          <w:b/>
          <w:bCs/>
          <w:color w:val="000000"/>
          <w:sz w:val="24"/>
          <w:szCs w:val="24"/>
          <w:highlight w:val="none"/>
          <w:u w:val="single"/>
        </w:rPr>
        <w:t xml:space="preserve">0 </w:t>
      </w:r>
      <w:r>
        <w:rPr>
          <w:rFonts w:hint="eastAsia" w:ascii="仿宋" w:hAnsi="仿宋" w:eastAsia="仿宋" w:cs="仿宋"/>
          <w:b/>
          <w:bCs/>
          <w:sz w:val="24"/>
          <w:szCs w:val="24"/>
          <w:highlight w:val="none"/>
        </w:rPr>
        <w:t>日</w:t>
      </w:r>
      <w:r>
        <w:rPr>
          <w:rFonts w:hint="eastAsia" w:ascii="仿宋" w:hAnsi="仿宋" w:eastAsia="仿宋" w:cs="仿宋"/>
          <w:sz w:val="24"/>
          <w:szCs w:val="24"/>
          <w:highlight w:val="none"/>
        </w:rPr>
        <w:t>之前将货物按甲方要求在甲方指定</w:t>
      </w:r>
      <w:r>
        <w:rPr>
          <w:rFonts w:hint="eastAsia" w:ascii="仿宋" w:hAnsi="仿宋" w:eastAsia="仿宋" w:cs="仿宋"/>
          <w:sz w:val="24"/>
          <w:szCs w:val="24"/>
        </w:rPr>
        <w:t>地点交货、安装、调试完毕，并具备使用条件，未经甲方允许每推迟一天，按合同总额的千分之五扣除违约金。</w:t>
      </w:r>
    </w:p>
    <w:p>
      <w:pPr>
        <w:adjustRightInd w:val="0"/>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sz w:val="24"/>
          <w:szCs w:val="24"/>
        </w:rPr>
        <w:t>2.乙方负责所供货物包装、运输、安装和调试，并承担所发生的</w:t>
      </w:r>
      <w:r>
        <w:rPr>
          <w:rFonts w:hint="eastAsia" w:ascii="仿宋" w:hAnsi="仿宋" w:eastAsia="仿宋" w:cs="仿宋"/>
          <w:color w:val="000000"/>
          <w:sz w:val="24"/>
          <w:szCs w:val="24"/>
        </w:rPr>
        <w:t>费用；甲方为乙方现场安装提供水、电等便利条件。</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color w:val="000000"/>
          <w:sz w:val="24"/>
          <w:szCs w:val="24"/>
        </w:rPr>
        <w:t>3.安装过程中若发生安全事故</w:t>
      </w:r>
      <w:r>
        <w:rPr>
          <w:rFonts w:hint="eastAsia" w:ascii="仿宋" w:hAnsi="仿宋" w:eastAsia="仿宋" w:cs="仿宋"/>
          <w:sz w:val="24"/>
          <w:szCs w:val="24"/>
        </w:rPr>
        <w:t>由乙方承担。</w:t>
      </w:r>
    </w:p>
    <w:p>
      <w:pPr>
        <w:adjustRightInd w:val="0"/>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sz w:val="24"/>
          <w:szCs w:val="24"/>
        </w:rPr>
        <w:t>4.乙方安装人员应服从甲方的管理，遵守国家法律法规和学校相关制度，否则一切后果均由乙方承担</w:t>
      </w:r>
      <w:r>
        <w:rPr>
          <w:rFonts w:hint="eastAsia" w:ascii="仿宋" w:hAnsi="仿宋" w:eastAsia="仿宋" w:cs="仿宋"/>
          <w:color w:val="000000"/>
          <w:sz w:val="24"/>
          <w:szCs w:val="24"/>
        </w:rPr>
        <w:t>。</w:t>
      </w:r>
    </w:p>
    <w:p>
      <w:pPr>
        <w:adjustRightInd w:val="0"/>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5.货物交付使用前，乙方负责对提供货物进行看管，并承担货物的丢失、损毁等风险。</w:t>
      </w:r>
    </w:p>
    <w:p>
      <w:p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九、验收方式</w:t>
      </w:r>
    </w:p>
    <w:p>
      <w:pPr>
        <w:adjustRightInd w:val="0"/>
        <w:snapToGrid w:val="0"/>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1.初步验收。甲方按合同所列质量标准、规格型号、技术参数以及数量等在现场验收，并填写初步验收单（详见附件4）。验收时，甲方有权提出采用技术和破坏相结合的方法。</w:t>
      </w:r>
    </w:p>
    <w:p>
      <w:pPr>
        <w:adjustRightInd w:val="0"/>
        <w:snapToGrid w:val="0"/>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pPr>
        <w:adjustRightInd w:val="0"/>
        <w:snapToGrid w:val="0"/>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p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十、付款方式</w:t>
      </w:r>
    </w:p>
    <w:p>
      <w:pPr>
        <w:adjustRightInd w:val="0"/>
        <w:snapToGrid w:val="0"/>
        <w:spacing w:line="360" w:lineRule="auto"/>
        <w:ind w:left="48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1.本合同总价款（大写）为：</w:t>
      </w:r>
      <w:r>
        <w:rPr>
          <w:rFonts w:hint="eastAsia" w:ascii="仿宋" w:hAnsi="仿宋" w:eastAsia="仿宋" w:cs="仿宋"/>
          <w:b/>
          <w:bCs/>
          <w:color w:val="000000"/>
          <w:kern w:val="0"/>
          <w:sz w:val="24"/>
          <w:szCs w:val="24"/>
          <w:highlight w:val="none"/>
          <w:u w:val="single"/>
        </w:rPr>
        <w:t xml:space="preserve"> 叁拾贰万伍仟元整 （小写：￥325000.00元）</w:t>
      </w:r>
      <w:r>
        <w:rPr>
          <w:rFonts w:hint="eastAsia" w:ascii="仿宋" w:hAnsi="仿宋" w:eastAsia="仿宋" w:cs="仿宋"/>
          <w:color w:val="000000"/>
          <w:sz w:val="24"/>
          <w:szCs w:val="24"/>
          <w:highlight w:val="none"/>
        </w:rPr>
        <w:t>。</w:t>
      </w:r>
    </w:p>
    <w:p>
      <w:pPr>
        <w:adjustRightInd w:val="0"/>
        <w:snapToGrid w:val="0"/>
        <w:spacing w:line="360" w:lineRule="auto"/>
        <w:ind w:left="12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2.付款方式：货物验收合格后，经审计后，甲方向乙方支付全部货款的95％即人民币：</w:t>
      </w:r>
      <w:r>
        <w:rPr>
          <w:rFonts w:hint="eastAsia" w:ascii="仿宋" w:hAnsi="仿宋" w:eastAsia="仿宋" w:cs="仿宋"/>
          <w:b/>
          <w:bCs/>
          <w:color w:val="000000"/>
          <w:kern w:val="0"/>
          <w:sz w:val="24"/>
          <w:szCs w:val="24"/>
          <w:highlight w:val="none"/>
          <w:u w:val="single"/>
        </w:rPr>
        <w:t xml:space="preserve"> 叁拾万零捌仟柒佰伍拾</w:t>
      </w:r>
      <w:r>
        <w:rPr>
          <w:rFonts w:hint="eastAsia" w:ascii="仿宋" w:hAnsi="仿宋" w:eastAsia="仿宋" w:cs="仿宋"/>
          <w:sz w:val="24"/>
          <w:szCs w:val="24"/>
          <w:highlight w:val="none"/>
        </w:rPr>
        <w:t>元整（小写：￥</w:t>
      </w:r>
      <w:r>
        <w:rPr>
          <w:rFonts w:hint="eastAsia" w:ascii="仿宋" w:hAnsi="仿宋" w:eastAsia="仿宋" w:cs="仿宋"/>
          <w:b/>
          <w:bCs/>
          <w:color w:val="000000"/>
          <w:kern w:val="0"/>
          <w:sz w:val="24"/>
          <w:szCs w:val="24"/>
          <w:highlight w:val="none"/>
          <w:u w:val="single"/>
        </w:rPr>
        <w:t>308750.00</w:t>
      </w:r>
      <w:r>
        <w:rPr>
          <w:rFonts w:hint="eastAsia" w:ascii="仿宋" w:hAnsi="仿宋" w:eastAsia="仿宋" w:cs="仿宋"/>
          <w:sz w:val="24"/>
          <w:szCs w:val="24"/>
          <w:highlight w:val="none"/>
        </w:rPr>
        <w:t>元），质保期满后，甲方向乙方支付剩余的全部货款即人民币：</w:t>
      </w:r>
      <w:r>
        <w:rPr>
          <w:rFonts w:hint="eastAsia" w:ascii="仿宋" w:hAnsi="仿宋" w:eastAsia="仿宋" w:cs="仿宋"/>
          <w:b/>
          <w:bCs/>
          <w:color w:val="000000"/>
          <w:kern w:val="0"/>
          <w:sz w:val="24"/>
          <w:szCs w:val="24"/>
          <w:highlight w:val="none"/>
          <w:u w:val="single"/>
        </w:rPr>
        <w:t xml:space="preserve"> 壹万陆仟贰佰伍拾 </w:t>
      </w:r>
      <w:r>
        <w:rPr>
          <w:rFonts w:hint="eastAsia" w:ascii="仿宋" w:hAnsi="仿宋" w:eastAsia="仿宋" w:cs="仿宋"/>
          <w:sz w:val="24"/>
          <w:szCs w:val="24"/>
          <w:highlight w:val="none"/>
        </w:rPr>
        <w:t>元整（小写：￥</w:t>
      </w:r>
      <w:r>
        <w:rPr>
          <w:rFonts w:hint="eastAsia" w:ascii="仿宋" w:hAnsi="仿宋" w:eastAsia="仿宋" w:cs="仿宋"/>
          <w:b/>
          <w:bCs/>
          <w:color w:val="000000"/>
          <w:kern w:val="0"/>
          <w:sz w:val="24"/>
          <w:szCs w:val="24"/>
          <w:highlight w:val="none"/>
          <w:u w:val="single"/>
        </w:rPr>
        <w:t xml:space="preserve"> 16250.00 </w:t>
      </w:r>
      <w:r>
        <w:rPr>
          <w:rFonts w:hint="eastAsia" w:ascii="仿宋" w:hAnsi="仿宋" w:eastAsia="仿宋" w:cs="仿宋"/>
          <w:sz w:val="24"/>
          <w:szCs w:val="24"/>
          <w:highlight w:val="none"/>
        </w:rPr>
        <w:t>元）。</w:t>
      </w:r>
    </w:p>
    <w:p>
      <w:p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十一、履约担保</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乙方向甲方以转账的方式提供合同总额5%的履约保证金。履约担保金在签订合同前交学校财务处，货物验收合格，正式交付使用后予以退还。</w:t>
      </w:r>
    </w:p>
    <w:p>
      <w:p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十二、违约责任</w:t>
      </w:r>
    </w:p>
    <w:p>
      <w:pPr>
        <w:adjustRightInd w:val="0"/>
        <w:snapToGrid w:val="0"/>
        <w:spacing w:line="360" w:lineRule="auto"/>
        <w:ind w:firstLine="460" w:firstLineChars="192"/>
        <w:rPr>
          <w:rFonts w:hint="eastAsia" w:ascii="仿宋" w:hAnsi="仿宋" w:eastAsia="仿宋" w:cs="仿宋"/>
          <w:sz w:val="24"/>
          <w:szCs w:val="24"/>
        </w:rPr>
      </w:pPr>
      <w:r>
        <w:rPr>
          <w:rFonts w:hint="eastAsia" w:ascii="仿宋" w:hAnsi="仿宋" w:eastAsia="仿宋" w:cs="仿宋"/>
          <w:sz w:val="24"/>
          <w:szCs w:val="24"/>
        </w:rPr>
        <w:t>乙方所交的货物产地、品牌、型号、规格、质量以及技术标准、数量等不符合合同要求，甲方有权拒收，由此产生的一切费用由乙方负责；因货物更换而造成逾期交货，则按逾期交货处理，乙方</w:t>
      </w:r>
      <w:r>
        <w:rPr>
          <w:rFonts w:hint="eastAsia" w:ascii="仿宋" w:hAnsi="仿宋" w:eastAsia="仿宋" w:cs="仿宋"/>
          <w:color w:val="000000"/>
          <w:sz w:val="24"/>
          <w:szCs w:val="24"/>
        </w:rPr>
        <w:t>应向甲方每天支付合同标总额日</w:t>
      </w:r>
      <w:r>
        <w:rPr>
          <w:rFonts w:hint="eastAsia" w:ascii="仿宋" w:hAnsi="仿宋" w:eastAsia="仿宋" w:cs="仿宋"/>
          <w:sz w:val="24"/>
          <w:szCs w:val="24"/>
        </w:rPr>
        <w:t>千分之五</w:t>
      </w:r>
      <w:r>
        <w:rPr>
          <w:rFonts w:hint="eastAsia" w:ascii="仿宋" w:hAnsi="仿宋" w:eastAsia="仿宋" w:cs="仿宋"/>
          <w:color w:val="000000"/>
          <w:sz w:val="24"/>
          <w:szCs w:val="24"/>
        </w:rPr>
        <w:t>的违约金。</w:t>
      </w:r>
      <w:r>
        <w:rPr>
          <w:rFonts w:hint="eastAsia" w:ascii="仿宋" w:hAnsi="仿宋" w:eastAsia="仿宋" w:cs="仿宋"/>
          <w:sz w:val="24"/>
          <w:szCs w:val="24"/>
        </w:rPr>
        <w:t>甲方无正当理由拒收设备，应向供方偿付拒收设备款额百分之五的违约金。</w:t>
      </w:r>
    </w:p>
    <w:p>
      <w:pPr>
        <w:adjustRightInd w:val="0"/>
        <w:snapToGrid w:val="0"/>
        <w:spacing w:line="360" w:lineRule="auto"/>
        <w:ind w:firstLine="460" w:firstLineChars="192"/>
        <w:rPr>
          <w:rFonts w:hint="eastAsia" w:ascii="仿宋" w:hAnsi="仿宋" w:eastAsia="仿宋" w:cs="仿宋"/>
          <w:sz w:val="24"/>
          <w:szCs w:val="24"/>
        </w:rPr>
      </w:pPr>
      <w:r>
        <w:rPr>
          <w:rFonts w:hint="eastAsia" w:ascii="仿宋" w:hAnsi="仿宋" w:eastAsia="仿宋" w:cs="仿宋"/>
          <w:sz w:val="24"/>
          <w:szCs w:val="24"/>
        </w:rPr>
        <w:t>甲方逾期付款，应向乙方支付本合同标的总额的日万分之四的违约金。</w:t>
      </w:r>
    </w:p>
    <w:p>
      <w:pPr>
        <w:adjustRightInd w:val="0"/>
        <w:snapToGrid w:val="0"/>
        <w:spacing w:line="360" w:lineRule="auto"/>
        <w:ind w:firstLine="560" w:firstLineChars="200"/>
        <w:outlineLvl w:val="0"/>
        <w:rPr>
          <w:rFonts w:hint="eastAsia" w:ascii="仿宋" w:hAnsi="仿宋" w:eastAsia="仿宋" w:cs="仿宋"/>
          <w:b/>
          <w:bCs/>
          <w:sz w:val="28"/>
          <w:szCs w:val="28"/>
        </w:rPr>
      </w:pPr>
      <w:r>
        <w:rPr>
          <w:rFonts w:hint="eastAsia" w:ascii="仿宋" w:hAnsi="仿宋" w:eastAsia="仿宋" w:cs="仿宋"/>
          <w:b/>
          <w:bCs/>
          <w:sz w:val="28"/>
          <w:szCs w:val="28"/>
        </w:rPr>
        <w:t>十三、其它</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1.组成本合同的文件及解释顺序为：投标书及其附件、本合同及补充条款；招标文件及补充通知；中标通知书；国家、行业或企业（以最高的为准）标准、规范及有关技术文件。</w:t>
      </w:r>
    </w:p>
    <w:p>
      <w:pPr>
        <w:adjustRightInd w:val="0"/>
        <w:snapToGrid w:val="0"/>
        <w:spacing w:line="360" w:lineRule="auto"/>
        <w:ind w:firstLine="600" w:firstLineChars="250"/>
        <w:rPr>
          <w:rFonts w:hint="eastAsia" w:ascii="仿宋" w:hAnsi="仿宋" w:eastAsia="仿宋" w:cs="仿宋"/>
          <w:sz w:val="24"/>
          <w:szCs w:val="24"/>
        </w:rPr>
      </w:pPr>
      <w:r>
        <w:rPr>
          <w:rFonts w:hint="eastAsia" w:ascii="仿宋" w:hAnsi="仿宋" w:eastAsia="仿宋" w:cs="仿宋"/>
          <w:sz w:val="24"/>
          <w:szCs w:val="24"/>
        </w:rPr>
        <w:t>2.双方在执行合同时产生纠纷，协商解决；协商不成，向甲方所在地人民法院提起诉讼。</w:t>
      </w:r>
    </w:p>
    <w:p>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rPr>
        <w:t>3</w:t>
      </w:r>
      <w:r>
        <w:rPr>
          <w:rFonts w:hint="eastAsia" w:ascii="仿宋" w:hAnsi="仿宋" w:eastAsia="仿宋" w:cs="仿宋"/>
          <w:sz w:val="24"/>
          <w:szCs w:val="24"/>
          <w:highlight w:val="none"/>
        </w:rPr>
        <w:t>.本合同共</w:t>
      </w:r>
      <w:r>
        <w:rPr>
          <w:rFonts w:hint="eastAsia" w:ascii="仿宋" w:hAnsi="仿宋" w:eastAsia="仿宋" w:cs="仿宋"/>
          <w:sz w:val="24"/>
          <w:szCs w:val="24"/>
          <w:highlight w:val="none"/>
          <w:u w:val="single"/>
        </w:rPr>
        <w:t>1</w:t>
      </w:r>
      <w:r>
        <w:rPr>
          <w:rFonts w:hint="eastAsia" w:ascii="仿宋" w:hAnsi="仿宋" w:eastAsia="仿宋" w:cs="仿宋"/>
          <w:sz w:val="24"/>
          <w:szCs w:val="24"/>
          <w:highlight w:val="none"/>
          <w:u w:val="single"/>
          <w:lang w:val="en-US" w:eastAsia="zh-CN"/>
        </w:rPr>
        <w:t>0</w:t>
      </w:r>
      <w:r>
        <w:rPr>
          <w:rFonts w:hint="eastAsia" w:ascii="仿宋" w:hAnsi="仿宋" w:eastAsia="仿宋" w:cs="仿宋"/>
          <w:sz w:val="24"/>
          <w:szCs w:val="24"/>
          <w:highlight w:val="none"/>
        </w:rPr>
        <w:t>页，一式八份，甲方执四份，乙方执二份，采购代理机构执二份。</w:t>
      </w:r>
    </w:p>
    <w:p>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4.本合同未尽事宜，供需双方可签订补充协议，与本合同具有同等法律效力。</w:t>
      </w:r>
    </w:p>
    <w:p>
      <w:pPr>
        <w:adjustRightInd w:val="0"/>
        <w:snapToGrid w:val="0"/>
        <w:spacing w:line="360" w:lineRule="auto"/>
        <w:ind w:firstLine="480" w:firstLineChars="200"/>
        <w:rPr>
          <w:rFonts w:hint="eastAsia" w:ascii="仿宋" w:hAnsi="仿宋" w:eastAsia="仿宋" w:cs="仿宋"/>
          <w:sz w:val="28"/>
          <w:szCs w:val="28"/>
          <w:highlight w:val="none"/>
        </w:rPr>
      </w:pPr>
      <w:r>
        <w:rPr>
          <w:rFonts w:hint="eastAsia" w:ascii="仿宋" w:hAnsi="仿宋" w:eastAsia="仿宋" w:cs="仿宋"/>
          <w:sz w:val="24"/>
          <w:szCs w:val="24"/>
          <w:highlight w:val="none"/>
        </w:rPr>
        <w:t>5.合同有效期：本合同双方签字盖章后生效，合同签署之日起至合同内容执行完毕为本合同有效期。</w:t>
      </w:r>
    </w:p>
    <w:tbl>
      <w:tblPr>
        <w:tblStyle w:val="9"/>
        <w:tblW w:w="86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42"/>
        <w:gridCol w:w="43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甲方：郑州大学</w:t>
            </w:r>
          </w:p>
        </w:tc>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乙方：</w:t>
            </w:r>
            <w:r>
              <w:rPr>
                <w:rFonts w:hint="eastAsia" w:ascii="仿宋" w:hAnsi="仿宋" w:eastAsia="仿宋" w:cs="仿宋"/>
                <w:sz w:val="24"/>
                <w:szCs w:val="24"/>
                <w:highlight w:val="none"/>
              </w:rPr>
              <w:t>郑州恒茂机电科技有限公司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trPr>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地址：</w:t>
            </w:r>
            <w:r>
              <w:rPr>
                <w:rFonts w:hint="eastAsia" w:ascii="仿宋" w:hAnsi="仿宋" w:eastAsia="仿宋" w:cs="仿宋"/>
                <w:sz w:val="24"/>
                <w:szCs w:val="24"/>
                <w:highlight w:val="none"/>
              </w:rPr>
              <w:t>郑州市科学大道100号郑州大学河南省资源与材料工业技术研究院</w:t>
            </w:r>
            <w:r>
              <w:rPr>
                <w:rFonts w:hint="eastAsia" w:ascii="仿宋" w:hAnsi="仿宋" w:eastAsia="仿宋" w:cs="仿宋"/>
                <w:b/>
                <w:bCs/>
                <w:sz w:val="24"/>
                <w:szCs w:val="24"/>
                <w:highlight w:val="none"/>
              </w:rPr>
              <w:t xml:space="preserve">  </w:t>
            </w:r>
          </w:p>
        </w:tc>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地址:</w:t>
            </w:r>
            <w:r>
              <w:rPr>
                <w:rFonts w:hint="eastAsia" w:ascii="仿宋" w:hAnsi="仿宋" w:eastAsia="仿宋" w:cs="仿宋"/>
                <w:sz w:val="24"/>
                <w:szCs w:val="24"/>
                <w:highlight w:val="none"/>
              </w:rPr>
              <w:t xml:space="preserve"> 荥阳市飞龙路路东二铺村南飞龙路工业园2#厂房东三跨北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签字代表（或委托代理人）：</w:t>
            </w:r>
          </w:p>
        </w:tc>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签字代表：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电话：</w:t>
            </w:r>
            <w:r>
              <w:rPr>
                <w:rFonts w:hint="eastAsia" w:ascii="仿宋" w:hAnsi="仿宋" w:eastAsia="仿宋" w:cs="仿宋"/>
                <w:sz w:val="24"/>
                <w:szCs w:val="24"/>
                <w:highlight w:val="none"/>
              </w:rPr>
              <w:t xml:space="preserve">0371-67781122  </w:t>
            </w:r>
          </w:p>
        </w:tc>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trPr>
        <w:tc>
          <w:tcPr>
            <w:tcW w:w="4342" w:type="dxa"/>
          </w:tcPr>
          <w:p>
            <w:pPr>
              <w:tabs>
                <w:tab w:val="left" w:pos="5020"/>
              </w:tabs>
              <w:spacing w:line="360" w:lineRule="auto"/>
              <w:rPr>
                <w:rFonts w:hint="eastAsia" w:ascii="仿宋" w:hAnsi="仿宋" w:eastAsia="仿宋" w:cs="仿宋"/>
                <w:sz w:val="24"/>
                <w:szCs w:val="24"/>
                <w:highlight w:val="none"/>
              </w:rPr>
            </w:pPr>
          </w:p>
        </w:tc>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rPr>
              <w:t>开户银行：</w:t>
            </w:r>
            <w:r>
              <w:rPr>
                <w:rFonts w:hint="eastAsia" w:ascii="仿宋" w:hAnsi="仿宋" w:eastAsia="仿宋" w:cs="仿宋"/>
                <w:sz w:val="24"/>
                <w:szCs w:val="24"/>
                <w:highlight w:val="none"/>
              </w:rPr>
              <w:t>中国农业银行股份有限公司荥阳市豫龙分理处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342" w:type="dxa"/>
          </w:tcPr>
          <w:p>
            <w:pPr>
              <w:tabs>
                <w:tab w:val="left" w:pos="5020"/>
              </w:tabs>
              <w:spacing w:line="360" w:lineRule="auto"/>
              <w:rPr>
                <w:rFonts w:hint="eastAsia" w:ascii="仿宋" w:hAnsi="仿宋" w:eastAsia="仿宋" w:cs="仿宋"/>
                <w:sz w:val="24"/>
                <w:szCs w:val="24"/>
                <w:highlight w:val="none"/>
              </w:rPr>
            </w:pPr>
          </w:p>
        </w:tc>
        <w:tc>
          <w:tcPr>
            <w:tcW w:w="4342" w:type="dxa"/>
          </w:tcPr>
          <w:p>
            <w:pPr>
              <w:tabs>
                <w:tab w:val="left" w:pos="5020"/>
              </w:tabs>
              <w:spacing w:line="360" w:lineRule="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rPr>
              <w:t>账号：</w:t>
            </w:r>
            <w:r>
              <w:rPr>
                <w:rFonts w:hint="eastAsia" w:ascii="仿宋" w:hAnsi="仿宋" w:eastAsia="仿宋" w:cs="仿宋"/>
                <w:sz w:val="24"/>
                <w:szCs w:val="24"/>
                <w:highlight w:val="none"/>
              </w:rPr>
              <w:t>1603 2001 0400 0478 0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342" w:type="dxa"/>
          </w:tcPr>
          <w:p>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合同签署日期：2022年</w:t>
            </w:r>
            <w:r>
              <w:rPr>
                <w:rFonts w:hint="eastAsia" w:ascii="仿宋" w:hAnsi="仿宋" w:eastAsia="仿宋" w:cs="仿宋"/>
                <w:b/>
                <w:bCs/>
                <w:sz w:val="24"/>
                <w:szCs w:val="24"/>
                <w:highlight w:val="none"/>
                <w:lang w:val="en-US" w:eastAsia="zh-CN"/>
              </w:rPr>
              <w:t>2</w:t>
            </w:r>
            <w:r>
              <w:rPr>
                <w:rFonts w:hint="eastAsia" w:ascii="仿宋" w:hAnsi="仿宋" w:eastAsia="仿宋" w:cs="仿宋"/>
                <w:b/>
                <w:bCs/>
                <w:sz w:val="24"/>
                <w:szCs w:val="24"/>
                <w:highlight w:val="none"/>
              </w:rPr>
              <w:t>月10日</w:t>
            </w:r>
          </w:p>
        </w:tc>
        <w:tc>
          <w:tcPr>
            <w:tcW w:w="4342" w:type="dxa"/>
          </w:tcPr>
          <w:p>
            <w:pPr>
              <w:tabs>
                <w:tab w:val="left" w:pos="5020"/>
              </w:tabs>
              <w:spacing w:line="360" w:lineRule="auto"/>
              <w:rPr>
                <w:rFonts w:hint="eastAsia" w:ascii="仿宋" w:hAnsi="仿宋" w:eastAsia="仿宋" w:cs="仿宋"/>
                <w:b/>
                <w:bCs/>
                <w:color w:val="000000"/>
                <w:kern w:val="0"/>
                <w:sz w:val="24"/>
                <w:szCs w:val="24"/>
                <w:highlight w:val="none"/>
              </w:rPr>
            </w:pPr>
          </w:p>
        </w:tc>
      </w:tr>
    </w:tbl>
    <w:p>
      <w:pPr>
        <w:spacing w:line="360" w:lineRule="auto"/>
        <w:rPr>
          <w:rFonts w:hint="eastAsia" w:ascii="仿宋" w:hAnsi="仿宋" w:eastAsia="仿宋" w:cs="仿宋"/>
          <w:b/>
          <w:bCs/>
          <w:sz w:val="28"/>
          <w:szCs w:val="28"/>
        </w:rPr>
        <w:sectPr>
          <w:footerReference r:id="rId3" w:type="default"/>
          <w:pgSz w:w="11907" w:h="16840"/>
          <w:pgMar w:top="1440" w:right="1644" w:bottom="1440" w:left="1644" w:header="851" w:footer="992" w:gutter="0"/>
          <w:cols w:space="425" w:num="1"/>
          <w:docGrid w:type="linesAndChars" w:linePitch="312" w:charSpace="0"/>
        </w:sectPr>
      </w:pPr>
    </w:p>
    <w:p>
      <w:pPr>
        <w:spacing w:line="360" w:lineRule="auto"/>
        <w:jc w:val="left"/>
        <w:rPr>
          <w:rFonts w:hint="eastAsia" w:ascii="仿宋" w:hAnsi="仿宋" w:eastAsia="仿宋" w:cs="仿宋"/>
          <w:color w:val="000000"/>
          <w:kern w:val="0"/>
          <w:sz w:val="24"/>
          <w:szCs w:val="24"/>
        </w:rPr>
      </w:pPr>
      <w:r>
        <w:rPr>
          <w:rFonts w:hint="eastAsia" w:ascii="仿宋" w:hAnsi="仿宋" w:eastAsia="仿宋" w:cs="仿宋"/>
          <w:b/>
          <w:bCs/>
          <w:sz w:val="28"/>
          <w:szCs w:val="28"/>
        </w:rPr>
        <w:t xml:space="preserve"> </w:t>
      </w:r>
      <w:r>
        <w:rPr>
          <w:rFonts w:hint="eastAsia" w:ascii="仿宋" w:hAnsi="仿宋" w:eastAsia="仿宋" w:cs="仿宋"/>
          <w:sz w:val="28"/>
          <w:szCs w:val="28"/>
        </w:rPr>
        <w:t>附件1</w:t>
      </w:r>
      <w:r>
        <w:rPr>
          <w:rFonts w:hint="eastAsia" w:ascii="仿宋" w:hAnsi="仿宋" w:eastAsia="仿宋" w:cs="仿宋"/>
          <w:color w:val="000000"/>
          <w:kern w:val="0"/>
          <w:sz w:val="24"/>
          <w:szCs w:val="24"/>
        </w:rPr>
        <w:t xml:space="preserve">： </w:t>
      </w:r>
    </w:p>
    <w:tbl>
      <w:tblPr>
        <w:tblStyle w:val="8"/>
        <w:tblpPr w:leftFromText="180" w:rightFromText="180" w:vertAnchor="text" w:horzAnchor="page" w:tblpXSpec="center" w:tblpY="6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717"/>
        <w:gridCol w:w="1294"/>
        <w:gridCol w:w="1664"/>
        <w:gridCol w:w="1657"/>
        <w:gridCol w:w="2063"/>
        <w:gridCol w:w="1273"/>
        <w:gridCol w:w="1479"/>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blHeader/>
        </w:trPr>
        <w:tc>
          <w:tcPr>
            <w:tcW w:w="798"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仿宋" w:hAnsi="仿宋" w:eastAsia="仿宋" w:cs="仿宋"/>
                <w:b/>
                <w:bCs/>
              </w:rPr>
            </w:pPr>
            <w:r>
              <w:rPr>
                <w:rFonts w:hint="eastAsia" w:ascii="仿宋" w:hAnsi="仿宋" w:eastAsia="仿宋" w:cs="仿宋"/>
                <w:b/>
                <w:bCs/>
              </w:rPr>
              <w:t>序号</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b/>
                <w:bCs/>
              </w:rPr>
            </w:pPr>
            <w:r>
              <w:rPr>
                <w:rFonts w:hint="eastAsia" w:ascii="仿宋" w:hAnsi="仿宋" w:eastAsia="仿宋" w:cs="仿宋"/>
                <w:b/>
                <w:bCs/>
              </w:rPr>
              <w:t>设备名称</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b/>
                <w:bCs/>
              </w:rPr>
            </w:pPr>
            <w:r>
              <w:rPr>
                <w:rFonts w:hint="eastAsia" w:ascii="仿宋" w:hAnsi="仿宋" w:eastAsia="仿宋" w:cs="仿宋"/>
                <w:b/>
                <w:bCs/>
              </w:rPr>
              <w:t>品牌型号</w:t>
            </w:r>
          </w:p>
        </w:tc>
        <w:tc>
          <w:tcPr>
            <w:tcW w:w="166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b/>
                <w:bCs/>
              </w:rPr>
            </w:pPr>
            <w:r>
              <w:rPr>
                <w:rFonts w:hint="eastAsia" w:ascii="仿宋" w:hAnsi="仿宋" w:eastAsia="仿宋" w:cs="仿宋"/>
                <w:b/>
                <w:bCs/>
              </w:rPr>
              <w:t>制造厂（商）</w:t>
            </w:r>
          </w:p>
        </w:tc>
        <w:tc>
          <w:tcPr>
            <w:tcW w:w="16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b/>
                <w:bCs/>
              </w:rPr>
            </w:pPr>
            <w:r>
              <w:rPr>
                <w:rFonts w:hint="eastAsia" w:ascii="仿宋" w:hAnsi="仿宋" w:eastAsia="仿宋" w:cs="仿宋"/>
                <w:b/>
                <w:bCs/>
              </w:rPr>
              <w:t>原产地（国）</w:t>
            </w:r>
          </w:p>
        </w:tc>
        <w:tc>
          <w:tcPr>
            <w:tcW w:w="206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b/>
                <w:bCs/>
              </w:rPr>
            </w:pPr>
            <w:r>
              <w:rPr>
                <w:rFonts w:hint="eastAsia" w:ascii="仿宋" w:hAnsi="仿宋" w:eastAsia="仿宋" w:cs="仿宋"/>
                <w:b/>
                <w:bCs/>
              </w:rPr>
              <w:t>数量</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b/>
                <w:bCs/>
              </w:rPr>
            </w:pPr>
            <w:r>
              <w:rPr>
                <w:rFonts w:hint="eastAsia" w:ascii="仿宋" w:hAnsi="仿宋" w:eastAsia="仿宋" w:cs="仿宋"/>
                <w:b/>
                <w:bCs/>
              </w:rPr>
              <w:t>单价</w:t>
            </w:r>
          </w:p>
        </w:tc>
        <w:tc>
          <w:tcPr>
            <w:tcW w:w="147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b/>
                <w:bCs/>
              </w:rPr>
            </w:pPr>
            <w:r>
              <w:rPr>
                <w:rFonts w:hint="eastAsia" w:ascii="仿宋" w:hAnsi="仿宋" w:eastAsia="仿宋" w:cs="仿宋"/>
                <w:b/>
                <w:bCs/>
              </w:rPr>
              <w:t>合价</w:t>
            </w:r>
          </w:p>
        </w:tc>
        <w:tc>
          <w:tcPr>
            <w:tcW w:w="173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b/>
                <w:bCs/>
              </w:rPr>
            </w:pPr>
            <w:r>
              <w:rPr>
                <w:rFonts w:hint="eastAsia" w:ascii="仿宋" w:hAnsi="仿宋" w:eastAsia="仿宋" w:cs="仿宋"/>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79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210" w:firstLineChars="100"/>
              <w:rPr>
                <w:rFonts w:hint="eastAsia" w:ascii="仿宋" w:hAnsi="仿宋" w:eastAsia="仿宋" w:cs="仿宋"/>
              </w:rPr>
            </w:pPr>
            <w:r>
              <w:rPr>
                <w:rFonts w:hint="eastAsia" w:ascii="仿宋" w:hAnsi="仿宋" w:eastAsia="仿宋" w:cs="仿宋"/>
              </w:rPr>
              <w:t>1</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rPr>
            </w:pPr>
            <w:r>
              <w:rPr>
                <w:rFonts w:hint="eastAsia" w:ascii="仿宋" w:hAnsi="仿宋" w:eastAsia="仿宋" w:cs="仿宋"/>
                <w:szCs w:val="21"/>
              </w:rPr>
              <w:t>铝电解质过热度测试仪</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仿宋" w:hAnsi="仿宋" w:eastAsia="仿宋" w:cs="仿宋"/>
              </w:rPr>
            </w:pPr>
            <w:r>
              <w:rPr>
                <w:rFonts w:hint="eastAsia" w:ascii="仿宋" w:hAnsi="仿宋" w:eastAsia="仿宋" w:cs="仿宋"/>
                <w:color w:val="000000"/>
                <w:kern w:val="0"/>
                <w:szCs w:val="21"/>
                <w:lang w:bidi="ar"/>
              </w:rPr>
              <w:t>HMKJ-GCIC</w:t>
            </w:r>
          </w:p>
        </w:tc>
        <w:tc>
          <w:tcPr>
            <w:tcW w:w="1664"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仿宋" w:hAnsi="仿宋" w:eastAsia="仿宋" w:cs="仿宋"/>
              </w:rPr>
            </w:pPr>
            <w:r>
              <w:rPr>
                <w:rFonts w:hint="eastAsia" w:ascii="仿宋" w:hAnsi="仿宋" w:eastAsia="仿宋" w:cs="仿宋"/>
                <w:szCs w:val="21"/>
              </w:rPr>
              <w:t>郑州恒茂机电科技有限公司</w:t>
            </w:r>
          </w:p>
        </w:tc>
        <w:tc>
          <w:tcPr>
            <w:tcW w:w="16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rPr>
            </w:pPr>
            <w:r>
              <w:rPr>
                <w:rFonts w:hint="eastAsia" w:ascii="仿宋" w:hAnsi="仿宋" w:eastAsia="仿宋" w:cs="仿宋"/>
              </w:rPr>
              <w:t>中国</w:t>
            </w:r>
          </w:p>
        </w:tc>
        <w:tc>
          <w:tcPr>
            <w:tcW w:w="206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color w:val="000000"/>
              </w:rPr>
            </w:pPr>
            <w:r>
              <w:rPr>
                <w:rFonts w:hint="eastAsia" w:ascii="仿宋" w:hAnsi="仿宋" w:eastAsia="仿宋" w:cs="仿宋"/>
                <w:color w:val="000000"/>
              </w:rPr>
              <w:t>1</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325000.00</w:t>
            </w:r>
          </w:p>
        </w:tc>
        <w:tc>
          <w:tcPr>
            <w:tcW w:w="14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325000.00</w:t>
            </w:r>
          </w:p>
        </w:tc>
        <w:tc>
          <w:tcPr>
            <w:tcW w:w="17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3684" w:type="dxa"/>
            <w:gridSpan w:val="9"/>
            <w:tcBorders>
              <w:top w:val="single" w:color="auto" w:sz="4" w:space="0"/>
              <w:left w:val="single" w:color="auto" w:sz="4" w:space="0"/>
              <w:bottom w:val="single" w:color="auto" w:sz="4" w:space="0"/>
              <w:right w:val="single" w:color="auto" w:sz="4" w:space="0"/>
            </w:tcBorders>
            <w:vAlign w:val="center"/>
          </w:tcPr>
          <w:p>
            <w:pPr>
              <w:spacing w:line="480" w:lineRule="auto"/>
              <w:rPr>
                <w:rFonts w:hint="eastAsia" w:ascii="仿宋" w:hAnsi="仿宋" w:eastAsia="仿宋" w:cs="仿宋"/>
              </w:rPr>
            </w:pPr>
            <w:r>
              <w:rPr>
                <w:rFonts w:hint="eastAsia" w:ascii="仿宋" w:hAnsi="仿宋" w:eastAsia="仿宋" w:cs="仿宋"/>
              </w:rPr>
              <w:t>合计：  小写：</w:t>
            </w:r>
            <w:r>
              <w:rPr>
                <w:rFonts w:hint="eastAsia" w:ascii="仿宋" w:hAnsi="仿宋" w:eastAsia="仿宋" w:cs="仿宋"/>
                <w:color w:val="000000"/>
              </w:rPr>
              <w:t>￥325000.00</w:t>
            </w:r>
            <w:r>
              <w:rPr>
                <w:rFonts w:hint="eastAsia" w:ascii="仿宋" w:hAnsi="仿宋" w:eastAsia="仿宋" w:cs="仿宋"/>
              </w:rPr>
              <w:t>元     大写：（人民币）叁拾贰万伍仟元整</w:t>
            </w:r>
          </w:p>
        </w:tc>
      </w:tr>
    </w:tbl>
    <w:p>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kern w:val="0"/>
          <w:sz w:val="24"/>
          <w:szCs w:val="24"/>
        </w:rPr>
        <w:t xml:space="preserve">                            </w:t>
      </w:r>
      <w:r>
        <w:rPr>
          <w:rFonts w:hint="eastAsia" w:ascii="仿宋" w:hAnsi="仿宋" w:eastAsia="仿宋" w:cs="仿宋"/>
          <w:b/>
          <w:bCs/>
          <w:color w:val="000000"/>
          <w:kern w:val="0"/>
          <w:sz w:val="28"/>
          <w:szCs w:val="28"/>
        </w:rPr>
        <w:t xml:space="preserve">               供货范围及分项价格表</w:t>
      </w:r>
      <w:r>
        <w:rPr>
          <w:rFonts w:hint="eastAsia" w:ascii="仿宋" w:hAnsi="仿宋" w:eastAsia="仿宋" w:cs="仿宋"/>
          <w:color w:val="000000"/>
          <w:sz w:val="24"/>
          <w:szCs w:val="24"/>
        </w:rPr>
        <w:t xml:space="preserve">                             单位：元</w:t>
      </w:r>
    </w:p>
    <w:p>
      <w:pPr>
        <w:rPr>
          <w:rFonts w:hint="eastAsia" w:ascii="仿宋" w:hAnsi="仿宋" w:eastAsia="仿宋" w:cs="仿宋"/>
        </w:rPr>
      </w:pPr>
    </w:p>
    <w:p>
      <w:pPr>
        <w:spacing w:line="360" w:lineRule="auto"/>
        <w:rPr>
          <w:rFonts w:hint="eastAsia" w:ascii="仿宋" w:hAnsi="仿宋" w:eastAsia="仿宋" w:cs="仿宋"/>
          <w:sz w:val="24"/>
          <w:szCs w:val="24"/>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0" w:firstLineChars="0"/>
        <w:rPr>
          <w:rFonts w:hint="eastAsia" w:ascii="仿宋" w:hAnsi="仿宋" w:eastAsia="仿宋" w:cs="仿宋"/>
        </w:rPr>
      </w:pPr>
    </w:p>
    <w:p>
      <w:pPr>
        <w:spacing w:line="360" w:lineRule="auto"/>
        <w:jc w:val="left"/>
        <w:rPr>
          <w:rFonts w:hint="eastAsia" w:ascii="仿宋" w:hAnsi="仿宋" w:eastAsia="仿宋" w:cs="仿宋"/>
          <w:sz w:val="28"/>
          <w:szCs w:val="28"/>
        </w:rPr>
      </w:pPr>
      <w:r>
        <w:rPr>
          <w:rFonts w:hint="eastAsia" w:ascii="仿宋" w:hAnsi="仿宋" w:eastAsia="仿宋" w:cs="仿宋"/>
          <w:sz w:val="28"/>
          <w:szCs w:val="28"/>
        </w:rPr>
        <w:t>附件2：</w:t>
      </w:r>
    </w:p>
    <w:p>
      <w:pPr>
        <w:spacing w:line="360" w:lineRule="auto"/>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设备</w:t>
      </w:r>
      <w:r>
        <w:rPr>
          <w:rFonts w:hint="eastAsia" w:ascii="仿宋" w:hAnsi="仿宋" w:eastAsia="仿宋" w:cs="仿宋"/>
          <w:b/>
          <w:bCs/>
          <w:sz w:val="28"/>
          <w:szCs w:val="28"/>
        </w:rPr>
        <w:t>技术规格参数、功能描述及</w:t>
      </w:r>
      <w:r>
        <w:rPr>
          <w:rFonts w:hint="eastAsia" w:ascii="仿宋" w:hAnsi="仿宋" w:eastAsia="仿宋" w:cs="仿宋"/>
          <w:b/>
          <w:bCs/>
          <w:color w:val="000000"/>
          <w:kern w:val="0"/>
          <w:sz w:val="28"/>
          <w:szCs w:val="28"/>
        </w:rPr>
        <w:t>配置清单表</w:t>
      </w:r>
    </w:p>
    <w:tbl>
      <w:tblPr>
        <w:tblStyle w:val="8"/>
        <w:tblW w:w="14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346"/>
        <w:gridCol w:w="8374"/>
        <w:gridCol w:w="126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序 号</w:t>
            </w:r>
          </w:p>
        </w:tc>
        <w:tc>
          <w:tcPr>
            <w:tcW w:w="13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设备名称</w:t>
            </w:r>
          </w:p>
        </w:tc>
        <w:tc>
          <w:tcPr>
            <w:tcW w:w="83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具体</w:t>
            </w:r>
            <w:r>
              <w:rPr>
                <w:rFonts w:hint="eastAsia" w:ascii="仿宋" w:hAnsi="仿宋" w:eastAsia="仿宋" w:cs="仿宋"/>
                <w:szCs w:val="21"/>
              </w:rPr>
              <w:t>技术规格参数、功能描述及</w:t>
            </w:r>
            <w:r>
              <w:rPr>
                <w:rFonts w:hint="eastAsia" w:ascii="仿宋" w:hAnsi="仿宋" w:eastAsia="仿宋" w:cs="仿宋"/>
                <w:color w:val="000000"/>
                <w:kern w:val="0"/>
                <w:szCs w:val="21"/>
              </w:rPr>
              <w:t>配置清单描述</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单 位</w:t>
            </w:r>
          </w:p>
        </w:tc>
        <w:tc>
          <w:tcPr>
            <w:tcW w:w="19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1</w:t>
            </w:r>
          </w:p>
        </w:tc>
        <w:tc>
          <w:tcPr>
            <w:tcW w:w="13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Cs w:val="21"/>
              </w:rPr>
            </w:pPr>
            <w:r>
              <w:rPr>
                <w:rFonts w:hint="eastAsia" w:ascii="仿宋" w:hAnsi="仿宋" w:eastAsia="仿宋" w:cs="仿宋"/>
                <w:szCs w:val="21"/>
              </w:rPr>
              <w:t>铝电解质过热度测试仪</w:t>
            </w:r>
          </w:p>
        </w:tc>
        <w:tc>
          <w:tcPr>
            <w:tcW w:w="837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Cs w:val="21"/>
              </w:rPr>
            </w:pPr>
            <w:r>
              <w:rPr>
                <w:rFonts w:hint="eastAsia" w:ascii="仿宋" w:hAnsi="仿宋" w:eastAsia="仿宋" w:cs="仿宋"/>
                <w:szCs w:val="21"/>
              </w:rPr>
              <w:t>测试范围</w:t>
            </w:r>
          </w:p>
          <w:p>
            <w:pPr>
              <w:jc w:val="left"/>
              <w:rPr>
                <w:rFonts w:hint="eastAsia" w:ascii="仿宋" w:hAnsi="仿宋" w:eastAsia="仿宋" w:cs="仿宋"/>
                <w:szCs w:val="21"/>
              </w:rPr>
            </w:pPr>
            <w:r>
              <w:rPr>
                <w:rFonts w:hint="eastAsia" w:ascii="仿宋" w:hAnsi="仿宋" w:eastAsia="仿宋" w:cs="仿宋"/>
                <w:szCs w:val="21"/>
              </w:rPr>
              <w:t>1、点解温度：850～1050℃</w:t>
            </w:r>
          </w:p>
          <w:p>
            <w:pPr>
              <w:jc w:val="left"/>
              <w:rPr>
                <w:rFonts w:hint="eastAsia" w:ascii="仿宋" w:hAnsi="仿宋" w:eastAsia="仿宋" w:cs="仿宋"/>
                <w:szCs w:val="21"/>
              </w:rPr>
            </w:pPr>
            <w:r>
              <w:rPr>
                <w:rFonts w:hint="eastAsia" w:ascii="仿宋" w:hAnsi="仿宋" w:eastAsia="仿宋" w:cs="仿宋"/>
                <w:szCs w:val="21"/>
              </w:rPr>
              <w:t>2、初晶温度：850～1000℃</w:t>
            </w:r>
          </w:p>
          <w:p>
            <w:pPr>
              <w:jc w:val="left"/>
              <w:rPr>
                <w:rFonts w:hint="eastAsia" w:ascii="仿宋" w:hAnsi="仿宋" w:eastAsia="仿宋" w:cs="仿宋"/>
                <w:szCs w:val="21"/>
              </w:rPr>
            </w:pPr>
            <w:r>
              <w:rPr>
                <w:rFonts w:hint="eastAsia" w:ascii="仿宋" w:hAnsi="仿宋" w:eastAsia="仿宋" w:cs="仿宋"/>
                <w:szCs w:val="21"/>
              </w:rPr>
              <w:t>3、过热度：0～40℃</w:t>
            </w:r>
          </w:p>
          <w:p>
            <w:pPr>
              <w:jc w:val="left"/>
              <w:rPr>
                <w:rFonts w:hint="eastAsia" w:ascii="仿宋" w:hAnsi="仿宋" w:eastAsia="仿宋" w:cs="仿宋"/>
                <w:szCs w:val="21"/>
              </w:rPr>
            </w:pPr>
            <w:r>
              <w:rPr>
                <w:rFonts w:hint="eastAsia" w:ascii="仿宋" w:hAnsi="仿宋" w:eastAsia="仿宋" w:cs="仿宋"/>
                <w:szCs w:val="21"/>
              </w:rPr>
              <w:t>测试误差</w:t>
            </w:r>
          </w:p>
          <w:p>
            <w:pPr>
              <w:jc w:val="left"/>
              <w:rPr>
                <w:rFonts w:hint="eastAsia" w:ascii="仿宋" w:hAnsi="仿宋" w:eastAsia="仿宋" w:cs="仿宋"/>
                <w:szCs w:val="21"/>
              </w:rPr>
            </w:pPr>
            <w:r>
              <w:rPr>
                <w:rFonts w:hint="eastAsia" w:ascii="仿宋" w:hAnsi="仿宋" w:eastAsia="仿宋" w:cs="仿宋"/>
                <w:szCs w:val="21"/>
              </w:rPr>
              <w:t>1、采集温度模块测量误差：≤1℃（K型热电偶，使用温度850～1050℃）</w:t>
            </w:r>
          </w:p>
          <w:p>
            <w:pPr>
              <w:jc w:val="left"/>
              <w:rPr>
                <w:rFonts w:hint="eastAsia" w:ascii="仿宋" w:hAnsi="仿宋" w:eastAsia="仿宋" w:cs="仿宋"/>
                <w:szCs w:val="21"/>
              </w:rPr>
            </w:pPr>
            <w:r>
              <w:rPr>
                <w:rFonts w:hint="eastAsia" w:ascii="仿宋" w:hAnsi="仿宋" w:eastAsia="仿宋" w:cs="仿宋"/>
                <w:szCs w:val="21"/>
              </w:rPr>
              <w:t>2、初晶温度测试相对误差：≤0.1%</w:t>
            </w:r>
          </w:p>
          <w:p>
            <w:pPr>
              <w:jc w:val="left"/>
              <w:rPr>
                <w:rFonts w:hint="eastAsia" w:ascii="仿宋" w:hAnsi="仿宋" w:eastAsia="仿宋" w:cs="仿宋"/>
                <w:szCs w:val="21"/>
              </w:rPr>
            </w:pPr>
            <w:r>
              <w:rPr>
                <w:rFonts w:hint="eastAsia" w:ascii="仿宋" w:hAnsi="仿宋" w:eastAsia="仿宋" w:cs="仿宋"/>
                <w:szCs w:val="21"/>
              </w:rPr>
              <w:t>3、测试装置使用环境：环境温度0～1050℃</w:t>
            </w:r>
          </w:p>
          <w:p>
            <w:pPr>
              <w:jc w:val="left"/>
              <w:rPr>
                <w:rFonts w:hint="eastAsia" w:ascii="仿宋" w:hAnsi="仿宋" w:eastAsia="仿宋" w:cs="仿宋"/>
                <w:szCs w:val="21"/>
              </w:rPr>
            </w:pPr>
            <w:r>
              <w:rPr>
                <w:rFonts w:hint="eastAsia" w:ascii="仿宋" w:hAnsi="仿宋" w:eastAsia="仿宋" w:cs="仿宋"/>
                <w:szCs w:val="21"/>
              </w:rPr>
              <w:t>4、分析装置使用环境：环境温度0～60℃</w:t>
            </w:r>
          </w:p>
          <w:p>
            <w:pPr>
              <w:jc w:val="left"/>
              <w:rPr>
                <w:rFonts w:hint="eastAsia" w:ascii="仿宋" w:hAnsi="仿宋" w:eastAsia="仿宋" w:cs="仿宋"/>
                <w:szCs w:val="21"/>
              </w:rPr>
            </w:pPr>
            <w:r>
              <w:rPr>
                <w:rFonts w:hint="eastAsia" w:ascii="仿宋" w:hAnsi="仿宋" w:eastAsia="仿宋" w:cs="仿宋"/>
                <w:szCs w:val="21"/>
              </w:rPr>
              <w:t>5、系统：具有智能测试、分析和存储、数据输出功能；具有测试及硬件报警功能</w:t>
            </w:r>
          </w:p>
          <w:p>
            <w:pPr>
              <w:spacing w:line="360" w:lineRule="auto"/>
              <w:jc w:val="left"/>
              <w:rPr>
                <w:rFonts w:hint="eastAsia" w:ascii="仿宋" w:hAnsi="仿宋" w:eastAsia="仿宋" w:cs="仿宋"/>
                <w:color w:val="000000"/>
                <w:kern w:val="0"/>
                <w:szCs w:val="21"/>
              </w:rPr>
            </w:pPr>
            <w:r>
              <w:rPr>
                <w:rFonts w:hint="eastAsia" w:ascii="仿宋" w:hAnsi="仿宋" w:eastAsia="仿宋" w:cs="仿宋"/>
                <w:szCs w:val="21"/>
              </w:rPr>
              <w:t>6、电解质中探头使用寿命：≥200</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套</w:t>
            </w:r>
          </w:p>
        </w:tc>
        <w:tc>
          <w:tcPr>
            <w:tcW w:w="19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1</w:t>
            </w:r>
          </w:p>
        </w:tc>
      </w:tr>
    </w:tbl>
    <w:p>
      <w:pPr>
        <w:pStyle w:val="2"/>
        <w:ind w:firstLine="210"/>
        <w:rPr>
          <w:rFonts w:hint="eastAsia" w:ascii="仿宋" w:hAnsi="仿宋" w:eastAsia="仿宋" w:cs="仿宋"/>
        </w:rPr>
        <w:sectPr>
          <w:pgSz w:w="16840" w:h="11907"/>
          <w:pgMar w:top="1644" w:right="1800" w:bottom="1644" w:left="1800" w:header="851" w:footer="992" w:gutter="0"/>
          <w:cols w:space="425" w:num="1"/>
          <w:docGrid w:type="linesAndChars" w:linePitch="312" w:charSpace="0"/>
        </w:sectPr>
      </w:pPr>
    </w:p>
    <w:p>
      <w:pPr>
        <w:snapToGrid w:val="0"/>
        <w:spacing w:line="360" w:lineRule="auto"/>
        <w:rPr>
          <w:rFonts w:hint="eastAsia" w:ascii="仿宋" w:hAnsi="仿宋" w:eastAsia="仿宋" w:cs="仿宋"/>
          <w:sz w:val="28"/>
          <w:szCs w:val="28"/>
        </w:rPr>
      </w:pPr>
      <w:r>
        <w:rPr>
          <w:rFonts w:hint="eastAsia" w:ascii="仿宋" w:hAnsi="仿宋" w:eastAsia="仿宋" w:cs="仿宋"/>
          <w:color w:val="000000"/>
          <w:kern w:val="0"/>
          <w:sz w:val="28"/>
          <w:szCs w:val="28"/>
        </w:rPr>
        <w:t xml:space="preserve">附件3：            </w:t>
      </w:r>
      <w:r>
        <w:rPr>
          <w:rFonts w:hint="eastAsia" w:ascii="仿宋" w:hAnsi="仿宋" w:eastAsia="仿宋" w:cs="仿宋"/>
          <w:sz w:val="28"/>
          <w:szCs w:val="28"/>
        </w:rPr>
        <w:t xml:space="preserve">      </w:t>
      </w:r>
    </w:p>
    <w:p>
      <w:pPr>
        <w:pStyle w:val="2"/>
        <w:ind w:firstLine="281"/>
        <w:jc w:val="center"/>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售后服务计划及保障措施</w:t>
      </w:r>
    </w:p>
    <w:p>
      <w:pPr>
        <w:spacing w:line="360" w:lineRule="auto"/>
        <w:ind w:firstLine="480" w:firstLineChars="200"/>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现场培训</w:t>
      </w:r>
    </w:p>
    <w:p>
      <w:pPr>
        <w:spacing w:line="360" w:lineRule="auto"/>
        <w:ind w:firstLine="562"/>
        <w:rPr>
          <w:rFonts w:hint="eastAsia" w:ascii="仿宋" w:hAnsi="仿宋" w:eastAsia="仿宋" w:cs="仿宋"/>
          <w:color w:val="000000"/>
          <w:sz w:val="24"/>
          <w:szCs w:val="24"/>
        </w:rPr>
      </w:pPr>
      <w:r>
        <w:rPr>
          <w:rFonts w:hint="eastAsia" w:ascii="仿宋" w:hAnsi="仿宋" w:eastAsia="仿宋" w:cs="仿宋"/>
          <w:color w:val="000000"/>
          <w:sz w:val="24"/>
          <w:szCs w:val="24"/>
        </w:rPr>
        <w:t>(1) 为保证设备的顺利调试和正常运行，达到预期性能，我方负责组织对招标方生产技术人员进行技术培训，以保证招标方人员具备操作和维修合同设备，及时检测和处理故障等方面的技术能力。</w:t>
      </w:r>
    </w:p>
    <w:p>
      <w:pPr>
        <w:spacing w:line="360" w:lineRule="auto"/>
        <w:ind w:firstLine="562"/>
        <w:rPr>
          <w:rFonts w:hint="eastAsia" w:ascii="仿宋" w:hAnsi="仿宋" w:eastAsia="仿宋" w:cs="仿宋"/>
          <w:color w:val="000000"/>
          <w:sz w:val="24"/>
          <w:szCs w:val="24"/>
        </w:rPr>
      </w:pPr>
      <w:r>
        <w:rPr>
          <w:rFonts w:hint="eastAsia" w:ascii="仿宋" w:hAnsi="仿宋" w:eastAsia="仿宋" w:cs="仿宋"/>
          <w:color w:val="000000"/>
          <w:sz w:val="24"/>
          <w:szCs w:val="24"/>
        </w:rPr>
        <w:t>(2) 我方应保证招标方技术人员能够初步了解和掌握合同设备的安装、调整、操作、维护、维修和分析检查等作业。</w:t>
      </w:r>
    </w:p>
    <w:p>
      <w:pPr>
        <w:spacing w:line="360" w:lineRule="auto"/>
        <w:ind w:firstLine="562"/>
        <w:rPr>
          <w:rFonts w:hint="eastAsia" w:ascii="仿宋" w:hAnsi="仿宋" w:eastAsia="仿宋" w:cs="仿宋"/>
          <w:color w:val="000000"/>
          <w:sz w:val="24"/>
          <w:szCs w:val="24"/>
        </w:rPr>
      </w:pPr>
      <w:r>
        <w:rPr>
          <w:rFonts w:hint="eastAsia" w:ascii="仿宋" w:hAnsi="仿宋" w:eastAsia="仿宋" w:cs="仿宋"/>
          <w:color w:val="000000"/>
          <w:sz w:val="24"/>
          <w:szCs w:val="24"/>
        </w:rPr>
        <w:t>(3) 现场培训在合同设备的安装、调试、考核及验收期间进行，应视为涉及合同技术服务的一部分。</w:t>
      </w:r>
    </w:p>
    <w:p>
      <w:pPr>
        <w:spacing w:line="360" w:lineRule="auto"/>
        <w:ind w:firstLine="562"/>
        <w:rPr>
          <w:rFonts w:hint="eastAsia" w:ascii="仿宋" w:hAnsi="仿宋" w:eastAsia="仿宋" w:cs="仿宋"/>
          <w:color w:val="000000"/>
          <w:sz w:val="24"/>
          <w:szCs w:val="24"/>
        </w:rPr>
      </w:pPr>
      <w:r>
        <w:rPr>
          <w:rFonts w:hint="eastAsia" w:ascii="仿宋" w:hAnsi="仿宋" w:eastAsia="仿宋" w:cs="仿宋"/>
          <w:color w:val="000000"/>
          <w:sz w:val="24"/>
          <w:szCs w:val="24"/>
        </w:rPr>
        <w:t>我方应派遣有关技术人员在合同设备安装现场对招标方的操作和维修人员进行与合同设备有关的工作原理、操作和维护的技术培训，包括机械、气动、电气、控制等方面的内容。</w:t>
      </w:r>
    </w:p>
    <w:p>
      <w:pPr>
        <w:spacing w:line="360" w:lineRule="auto"/>
        <w:ind w:firstLine="480" w:firstLineChars="200"/>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现场服务</w:t>
      </w:r>
    </w:p>
    <w:p>
      <w:pPr>
        <w:spacing w:line="360" w:lineRule="auto"/>
        <w:ind w:firstLine="562"/>
        <w:rPr>
          <w:rFonts w:hint="eastAsia" w:ascii="仿宋" w:hAnsi="仿宋" w:eastAsia="仿宋" w:cs="仿宋"/>
          <w:color w:val="000000"/>
          <w:sz w:val="24"/>
          <w:szCs w:val="24"/>
        </w:rPr>
      </w:pPr>
      <w:r>
        <w:rPr>
          <w:rFonts w:hint="eastAsia" w:ascii="仿宋" w:hAnsi="仿宋" w:eastAsia="仿宋" w:cs="仿宋"/>
          <w:color w:val="000000"/>
          <w:sz w:val="24"/>
          <w:szCs w:val="24"/>
        </w:rPr>
        <w:t>(1) 我方选派技术素质高、经验丰富的、能及时独立解决现场问题的员工从事技术服务工作。</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我方现场服务人员的职责包括设备催交、货物的开箱检验、设备质量问题的处理、安装和调试、参加试运和性能验收试验。</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我方建立工地档案,有针对性地将工地反馈的信息以及招标方的建议进行归纳整理,及时解决本类产品存在的问题,进行技术改进，且总结经验不断完善产品质量。</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 现场服务人员的工作时间与现场要求相一致，以满足现场安装、调试、和运行的要求。</w:t>
      </w:r>
    </w:p>
    <w:p>
      <w:pPr>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售后服务</w:t>
      </w:r>
    </w:p>
    <w:p>
      <w:pPr>
        <w:spacing w:line="360" w:lineRule="auto"/>
        <w:ind w:firstLine="480" w:firstLineChars="200"/>
        <w:rPr>
          <w:rFonts w:hint="eastAsia" w:ascii="仿宋" w:hAnsi="仿宋" w:eastAsia="仿宋" w:cs="仿宋"/>
          <w:b/>
          <w:bCs/>
          <w:sz w:val="24"/>
          <w:szCs w:val="24"/>
        </w:rPr>
      </w:pPr>
      <w:r>
        <w:rPr>
          <w:rFonts w:hint="eastAsia" w:ascii="仿宋" w:hAnsi="仿宋" w:eastAsia="仿宋" w:cs="仿宋"/>
          <w:sz w:val="24"/>
          <w:szCs w:val="24"/>
        </w:rPr>
        <w:t>（1） 所投货物非人为损坏出现问题，我方在接到正式通知后</w:t>
      </w:r>
      <w:r>
        <w:rPr>
          <w:rFonts w:hint="eastAsia" w:ascii="仿宋" w:hAnsi="仿宋" w:eastAsia="仿宋" w:cs="仿宋"/>
          <w:sz w:val="24"/>
          <w:szCs w:val="24"/>
          <w:u w:val="single"/>
        </w:rPr>
        <w:t>2</w:t>
      </w:r>
      <w:r>
        <w:rPr>
          <w:rFonts w:hint="eastAsia" w:ascii="仿宋" w:hAnsi="仿宋" w:eastAsia="仿宋" w:cs="仿宋"/>
          <w:sz w:val="24"/>
          <w:szCs w:val="24"/>
        </w:rPr>
        <w:t>小时（内响应，</w:t>
      </w:r>
      <w:r>
        <w:rPr>
          <w:rFonts w:hint="eastAsia" w:ascii="仿宋" w:hAnsi="仿宋" w:eastAsia="仿宋" w:cs="仿宋"/>
          <w:sz w:val="24"/>
          <w:szCs w:val="24"/>
          <w:u w:val="single"/>
        </w:rPr>
        <w:t>12</w:t>
      </w:r>
      <w:r>
        <w:rPr>
          <w:rFonts w:hint="eastAsia" w:ascii="仿宋" w:hAnsi="仿宋" w:eastAsia="仿宋" w:cs="仿宋"/>
          <w:sz w:val="24"/>
          <w:szCs w:val="24"/>
        </w:rPr>
        <w:t>小时内到达现场进行检修，解决问题时间不超过</w:t>
      </w:r>
      <w:r>
        <w:rPr>
          <w:rFonts w:hint="eastAsia" w:ascii="仿宋" w:hAnsi="仿宋" w:eastAsia="仿宋" w:cs="仿宋"/>
          <w:sz w:val="24"/>
          <w:szCs w:val="24"/>
          <w:u w:val="single"/>
        </w:rPr>
        <w:t>4</w:t>
      </w:r>
      <w:r>
        <w:rPr>
          <w:rFonts w:hint="eastAsia" w:ascii="仿宋" w:hAnsi="仿宋" w:eastAsia="仿宋" w:cs="仿宋"/>
          <w:sz w:val="24"/>
          <w:szCs w:val="24"/>
        </w:rPr>
        <w:t>小时。若不能在上述承诺的时间内解决问题，则在</w:t>
      </w:r>
      <w:r>
        <w:rPr>
          <w:rFonts w:hint="eastAsia" w:ascii="仿宋" w:hAnsi="仿宋" w:eastAsia="仿宋" w:cs="仿宋"/>
          <w:sz w:val="24"/>
          <w:szCs w:val="24"/>
          <w:u w:val="single"/>
        </w:rPr>
        <w:t>15</w:t>
      </w:r>
      <w:r>
        <w:rPr>
          <w:rFonts w:hint="eastAsia" w:ascii="仿宋" w:hAnsi="仿宋" w:eastAsia="仿宋" w:cs="仿宋"/>
          <w:sz w:val="24"/>
          <w:szCs w:val="24"/>
        </w:rPr>
        <w:t>个工作日内提供与原问题机器同品牌规格型号的全新仪器备机服务，直到原设备修复，期间产生的所有费用均有我单位承担。原设备修复后的质保期限相应延长至新的保修期截止日，全新备机在使用期间的质保及售后均按上述承诺执行。</w:t>
      </w:r>
    </w:p>
    <w:p>
      <w:pPr>
        <w:pStyle w:val="2"/>
        <w:spacing w:line="360" w:lineRule="auto"/>
        <w:ind w:right="420" w:firstLine="210"/>
        <w:jc w:val="right"/>
        <w:rPr>
          <w:rFonts w:hint="eastAsia" w:ascii="仿宋" w:hAnsi="仿宋" w:eastAsia="仿宋" w:cs="仿宋"/>
        </w:rPr>
      </w:pPr>
    </w:p>
    <w:p>
      <w:pPr>
        <w:pStyle w:val="2"/>
        <w:spacing w:line="360" w:lineRule="auto"/>
        <w:ind w:right="420" w:firstLine="210"/>
        <w:jc w:val="right"/>
        <w:rPr>
          <w:rFonts w:hint="eastAsia" w:ascii="仿宋" w:hAnsi="仿宋" w:eastAsia="仿宋" w:cs="仿宋"/>
        </w:rPr>
      </w:pPr>
    </w:p>
    <w:p>
      <w:pPr>
        <w:pStyle w:val="2"/>
        <w:spacing w:line="360" w:lineRule="auto"/>
        <w:ind w:right="420" w:firstLine="210"/>
        <w:jc w:val="righ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郑州恒茂机电科技有限公司</w:t>
      </w: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firstLine="210"/>
        <w:rPr>
          <w:rFonts w:hint="eastAsia" w:ascii="仿宋" w:hAnsi="仿宋" w:eastAsia="仿宋" w:cs="仿宋"/>
        </w:rPr>
      </w:pPr>
    </w:p>
    <w:p>
      <w:pPr>
        <w:pStyle w:val="2"/>
        <w:ind w:left="0" w:leftChars="0" w:firstLine="0" w:firstLineChars="0"/>
        <w:rPr>
          <w:rFonts w:hint="eastAsia" w:ascii="仿宋" w:hAnsi="仿宋" w:eastAsia="仿宋" w:cs="仿宋"/>
        </w:rPr>
      </w:pPr>
    </w:p>
    <w:p>
      <w:pPr>
        <w:snapToGrid w:val="0"/>
        <w:spacing w:line="360" w:lineRule="auto"/>
        <w:rPr>
          <w:rFonts w:hint="eastAsia" w:ascii="仿宋" w:hAnsi="仿宋" w:eastAsia="仿宋" w:cs="仿宋"/>
          <w:b/>
          <w:bCs/>
          <w:sz w:val="28"/>
          <w:szCs w:val="28"/>
        </w:rPr>
      </w:pPr>
      <w:r>
        <w:rPr>
          <w:rFonts w:hint="eastAsia" w:ascii="仿宋" w:hAnsi="仿宋" w:eastAsia="仿宋" w:cs="仿宋"/>
          <w:sz w:val="28"/>
          <w:szCs w:val="28"/>
        </w:rPr>
        <w:t>附件4：</w:t>
      </w:r>
      <w:r>
        <w:rPr>
          <w:rFonts w:hint="eastAsia" w:ascii="仿宋" w:hAnsi="仿宋" w:eastAsia="仿宋" w:cs="仿宋"/>
          <w:b/>
          <w:bCs/>
          <w:sz w:val="28"/>
          <w:szCs w:val="28"/>
        </w:rPr>
        <w:t xml:space="preserve">       </w:t>
      </w:r>
    </w:p>
    <w:p>
      <w:pPr>
        <w:snapToGrid w:val="0"/>
        <w:spacing w:line="360" w:lineRule="auto"/>
        <w:rPr>
          <w:rFonts w:hint="eastAsia" w:ascii="仿宋" w:hAnsi="仿宋" w:eastAsia="仿宋" w:cs="仿宋"/>
          <w:b/>
          <w:bCs/>
          <w:sz w:val="36"/>
          <w:szCs w:val="36"/>
        </w:rPr>
      </w:pPr>
      <w:r>
        <w:rPr>
          <w:rFonts w:hint="eastAsia" w:ascii="仿宋" w:hAnsi="仿宋" w:eastAsia="仿宋" w:cs="仿宋"/>
          <w:b/>
          <w:bCs/>
          <w:sz w:val="28"/>
          <w:szCs w:val="28"/>
        </w:rPr>
        <w:t xml:space="preserve">             </w:t>
      </w:r>
      <w:r>
        <w:rPr>
          <w:rFonts w:hint="eastAsia" w:ascii="仿宋" w:hAnsi="仿宋" w:eastAsia="仿宋" w:cs="仿宋"/>
          <w:b/>
          <w:bCs/>
          <w:sz w:val="36"/>
          <w:szCs w:val="36"/>
        </w:rPr>
        <w:t>郑州大学仪器设备初步验收单</w:t>
      </w:r>
    </w:p>
    <w:p>
      <w:pPr>
        <w:ind w:firstLine="352" w:firstLineChars="147"/>
        <w:rPr>
          <w:rFonts w:hint="eastAsia" w:ascii="仿宋" w:hAnsi="仿宋" w:eastAsia="仿宋" w:cs="仿宋"/>
          <w:b/>
          <w:bCs/>
          <w:sz w:val="24"/>
          <w:szCs w:val="24"/>
        </w:rPr>
      </w:pPr>
      <w:r>
        <w:rPr>
          <w:rFonts w:hint="eastAsia" w:ascii="仿宋" w:hAnsi="仿宋" w:eastAsia="仿宋" w:cs="仿宋"/>
          <w:b/>
          <w:bCs/>
          <w:sz w:val="24"/>
          <w:szCs w:val="24"/>
        </w:rPr>
        <w:t>No.                                                  年   月   日</w:t>
      </w:r>
    </w:p>
    <w:tbl>
      <w:tblPr>
        <w:tblStyle w:val="8"/>
        <w:tblW w:w="880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534"/>
        <w:gridCol w:w="91"/>
        <w:gridCol w:w="1032"/>
        <w:gridCol w:w="448"/>
        <w:gridCol w:w="1241"/>
        <w:gridCol w:w="693"/>
        <w:gridCol w:w="783"/>
        <w:gridCol w:w="7"/>
        <w:gridCol w:w="561"/>
        <w:gridCol w:w="368"/>
        <w:gridCol w:w="323"/>
        <w:gridCol w:w="380"/>
        <w:gridCol w:w="494"/>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98" w:type="dxa"/>
            <w:gridSpan w:val="2"/>
            <w:tcBorders>
              <w:top w:val="single" w:color="auto" w:sz="12" w:space="0"/>
              <w:left w:val="single" w:color="auto" w:sz="12" w:space="0"/>
              <w:bottom w:val="single" w:color="auto" w:sz="2" w:space="0"/>
              <w:right w:val="single" w:color="auto" w:sz="2"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使用单位</w:t>
            </w:r>
          </w:p>
        </w:tc>
        <w:tc>
          <w:tcPr>
            <w:tcW w:w="1571" w:type="dxa"/>
            <w:gridSpan w:val="3"/>
            <w:tcBorders>
              <w:top w:val="single" w:color="auto" w:sz="12" w:space="0"/>
              <w:left w:val="single" w:color="auto" w:sz="2" w:space="0"/>
              <w:bottom w:val="single" w:color="auto" w:sz="2" w:space="0"/>
              <w:right w:val="single" w:color="auto" w:sz="2" w:space="0"/>
            </w:tcBorders>
            <w:vAlign w:val="center"/>
          </w:tcPr>
          <w:p>
            <w:pPr>
              <w:jc w:val="center"/>
              <w:rPr>
                <w:rFonts w:hint="eastAsia" w:ascii="仿宋" w:hAnsi="仿宋" w:eastAsia="仿宋" w:cs="仿宋"/>
                <w:sz w:val="18"/>
                <w:szCs w:val="18"/>
              </w:rPr>
            </w:pPr>
          </w:p>
        </w:tc>
        <w:tc>
          <w:tcPr>
            <w:tcW w:w="1241" w:type="dxa"/>
            <w:tcBorders>
              <w:top w:val="single" w:color="auto" w:sz="12" w:space="0"/>
              <w:left w:val="single" w:color="auto" w:sz="2" w:space="0"/>
              <w:bottom w:val="single" w:color="auto" w:sz="2" w:space="0"/>
              <w:right w:val="single" w:color="auto" w:sz="2"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使用人</w:t>
            </w:r>
          </w:p>
        </w:tc>
        <w:tc>
          <w:tcPr>
            <w:tcW w:w="1476" w:type="dxa"/>
            <w:gridSpan w:val="2"/>
            <w:tcBorders>
              <w:top w:val="single" w:color="auto" w:sz="12" w:space="0"/>
              <w:left w:val="single" w:color="auto" w:sz="2" w:space="0"/>
              <w:bottom w:val="single" w:color="auto" w:sz="2" w:space="0"/>
              <w:right w:val="single" w:color="auto" w:sz="2" w:space="0"/>
            </w:tcBorders>
            <w:vAlign w:val="center"/>
          </w:tcPr>
          <w:p>
            <w:pPr>
              <w:jc w:val="center"/>
              <w:rPr>
                <w:rFonts w:hint="eastAsia" w:ascii="仿宋" w:hAnsi="仿宋" w:eastAsia="仿宋" w:cs="仿宋"/>
                <w:sz w:val="18"/>
                <w:szCs w:val="18"/>
              </w:rPr>
            </w:pPr>
          </w:p>
        </w:tc>
        <w:tc>
          <w:tcPr>
            <w:tcW w:w="1638" w:type="dxa"/>
            <w:gridSpan w:val="5"/>
            <w:tcBorders>
              <w:top w:val="single" w:color="auto" w:sz="12" w:space="0"/>
              <w:left w:val="single" w:color="auto" w:sz="2" w:space="0"/>
              <w:bottom w:val="single" w:color="auto" w:sz="2" w:space="0"/>
              <w:right w:val="single" w:color="auto" w:sz="2"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合同编号</w:t>
            </w:r>
          </w:p>
        </w:tc>
        <w:tc>
          <w:tcPr>
            <w:tcW w:w="1674" w:type="dxa"/>
            <w:gridSpan w:val="2"/>
            <w:tcBorders>
              <w:top w:val="single" w:color="auto" w:sz="12" w:space="0"/>
              <w:left w:val="single" w:color="auto" w:sz="2" w:space="0"/>
              <w:bottom w:val="single" w:color="auto" w:sz="2" w:space="0"/>
              <w:right w:val="single" w:color="auto" w:sz="12" w:space="0"/>
            </w:tcBorders>
            <w:vAlign w:val="center"/>
          </w:tcPr>
          <w:p>
            <w:pPr>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98" w:type="dxa"/>
            <w:gridSpan w:val="2"/>
            <w:tcBorders>
              <w:top w:val="single" w:color="auto" w:sz="4" w:space="0"/>
              <w:left w:val="single" w:color="auto" w:sz="12" w:space="0"/>
              <w:bottom w:val="single" w:color="auto" w:sz="4" w:space="0"/>
              <w:right w:val="single" w:color="auto" w:sz="2"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供货商</w:t>
            </w:r>
          </w:p>
        </w:tc>
        <w:tc>
          <w:tcPr>
            <w:tcW w:w="4295" w:type="dxa"/>
            <w:gridSpan w:val="7"/>
            <w:tcBorders>
              <w:top w:val="single" w:color="auto" w:sz="4" w:space="0"/>
              <w:left w:val="single" w:color="auto" w:sz="2" w:space="0"/>
              <w:bottom w:val="single" w:color="auto" w:sz="4" w:space="0"/>
              <w:right w:val="single" w:color="auto" w:sz="2" w:space="0"/>
            </w:tcBorders>
            <w:vAlign w:val="center"/>
          </w:tcPr>
          <w:p>
            <w:pPr>
              <w:jc w:val="center"/>
              <w:rPr>
                <w:rFonts w:hint="eastAsia" w:ascii="仿宋" w:hAnsi="仿宋" w:eastAsia="仿宋" w:cs="仿宋"/>
                <w:sz w:val="18"/>
                <w:szCs w:val="18"/>
              </w:rPr>
            </w:pPr>
          </w:p>
        </w:tc>
        <w:tc>
          <w:tcPr>
            <w:tcW w:w="1632" w:type="dxa"/>
            <w:gridSpan w:val="4"/>
            <w:tcBorders>
              <w:top w:val="single" w:color="auto" w:sz="4" w:space="0"/>
              <w:left w:val="single" w:color="auto" w:sz="2" w:space="0"/>
              <w:bottom w:val="single" w:color="auto" w:sz="4" w:space="0"/>
              <w:right w:val="single" w:color="auto" w:sz="2"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 xml:space="preserve">合同总金额   </w:t>
            </w:r>
          </w:p>
        </w:tc>
        <w:tc>
          <w:tcPr>
            <w:tcW w:w="1674" w:type="dxa"/>
            <w:gridSpan w:val="2"/>
            <w:tcBorders>
              <w:top w:val="single" w:color="auto" w:sz="4" w:space="0"/>
              <w:left w:val="single" w:color="auto" w:sz="2" w:space="0"/>
              <w:bottom w:val="single" w:color="auto" w:sz="4" w:space="0"/>
              <w:right w:val="single" w:color="auto" w:sz="12" w:space="0"/>
            </w:tcBorders>
            <w:vAlign w:val="center"/>
          </w:tcPr>
          <w:p>
            <w:pPr>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801" w:type="dxa"/>
            <w:gridSpan w:val="15"/>
            <w:tcBorders>
              <w:top w:val="single" w:color="auto" w:sz="4" w:space="0"/>
              <w:left w:val="single" w:color="auto" w:sz="12" w:space="0"/>
              <w:bottom w:val="single" w:color="auto" w:sz="4" w:space="0"/>
              <w:right w:val="single" w:color="auto" w:sz="12"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设备明细（品名、型号、规格、生产厂家、数量、金额等，不够可另附表）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64" w:type="dxa"/>
            <w:tcBorders>
              <w:top w:val="single" w:color="auto" w:sz="4" w:space="0"/>
              <w:left w:val="single" w:color="auto" w:sz="12" w:space="0"/>
              <w:bottom w:val="single" w:color="auto" w:sz="2" w:space="0"/>
              <w:right w:val="single" w:color="auto" w:sz="2" w:space="0"/>
            </w:tcBorders>
            <w:vAlign w:val="center"/>
          </w:tcPr>
          <w:p>
            <w:pPr>
              <w:jc w:val="center"/>
              <w:rPr>
                <w:rFonts w:hint="eastAsia" w:ascii="仿宋" w:hAnsi="仿宋" w:eastAsia="仿宋" w:cs="仿宋"/>
                <w:b/>
                <w:bCs/>
                <w:sz w:val="18"/>
                <w:szCs w:val="18"/>
              </w:rPr>
            </w:pPr>
            <w:r>
              <w:rPr>
                <w:rFonts w:hint="eastAsia" w:ascii="仿宋" w:hAnsi="仿宋" w:eastAsia="仿宋" w:cs="仿宋"/>
                <w:b/>
                <w:bCs/>
                <w:sz w:val="18"/>
                <w:szCs w:val="18"/>
              </w:rPr>
              <w:t>序号</w:t>
            </w:r>
          </w:p>
        </w:tc>
        <w:tc>
          <w:tcPr>
            <w:tcW w:w="1657" w:type="dxa"/>
            <w:gridSpan w:val="3"/>
            <w:tcBorders>
              <w:top w:val="single" w:color="auto" w:sz="4" w:space="0"/>
              <w:left w:val="single" w:color="auto" w:sz="2" w:space="0"/>
              <w:bottom w:val="single" w:color="auto" w:sz="2" w:space="0"/>
              <w:right w:val="single" w:color="auto" w:sz="2" w:space="0"/>
            </w:tcBorders>
            <w:vAlign w:val="center"/>
          </w:tcPr>
          <w:p>
            <w:pPr>
              <w:jc w:val="center"/>
              <w:rPr>
                <w:rFonts w:hint="eastAsia" w:ascii="仿宋" w:hAnsi="仿宋" w:eastAsia="仿宋" w:cs="仿宋"/>
                <w:b/>
                <w:bCs/>
                <w:sz w:val="18"/>
                <w:szCs w:val="18"/>
              </w:rPr>
            </w:pPr>
            <w:r>
              <w:rPr>
                <w:rFonts w:hint="eastAsia" w:ascii="仿宋" w:hAnsi="仿宋" w:eastAsia="仿宋" w:cs="仿宋"/>
                <w:b/>
                <w:bCs/>
                <w:sz w:val="18"/>
                <w:szCs w:val="18"/>
              </w:rPr>
              <w:t>品名</w:t>
            </w:r>
          </w:p>
        </w:tc>
        <w:tc>
          <w:tcPr>
            <w:tcW w:w="2382" w:type="dxa"/>
            <w:gridSpan w:val="3"/>
            <w:tcBorders>
              <w:top w:val="single" w:color="auto" w:sz="4" w:space="0"/>
              <w:left w:val="single" w:color="auto" w:sz="2" w:space="0"/>
              <w:bottom w:val="single" w:color="auto" w:sz="2" w:space="0"/>
              <w:right w:val="single" w:color="auto" w:sz="2" w:space="0"/>
            </w:tcBorders>
            <w:vAlign w:val="center"/>
          </w:tcPr>
          <w:p>
            <w:pPr>
              <w:jc w:val="center"/>
              <w:rPr>
                <w:rFonts w:hint="eastAsia" w:ascii="仿宋" w:hAnsi="仿宋" w:eastAsia="仿宋" w:cs="仿宋"/>
                <w:b/>
                <w:bCs/>
                <w:sz w:val="18"/>
                <w:szCs w:val="18"/>
              </w:rPr>
            </w:pPr>
            <w:r>
              <w:rPr>
                <w:rFonts w:hint="eastAsia" w:ascii="仿宋" w:hAnsi="仿宋" w:eastAsia="仿宋" w:cs="仿宋"/>
                <w:b/>
                <w:bCs/>
                <w:sz w:val="18"/>
                <w:szCs w:val="18"/>
              </w:rPr>
              <w:t>技术参数</w:t>
            </w:r>
          </w:p>
          <w:p>
            <w:pPr>
              <w:jc w:val="center"/>
              <w:rPr>
                <w:rFonts w:hint="eastAsia" w:ascii="仿宋" w:hAnsi="仿宋" w:eastAsia="仿宋" w:cs="仿宋"/>
                <w:b/>
                <w:bCs/>
                <w:sz w:val="18"/>
                <w:szCs w:val="18"/>
              </w:rPr>
            </w:pPr>
            <w:r>
              <w:rPr>
                <w:rFonts w:hint="eastAsia" w:ascii="仿宋" w:hAnsi="仿宋" w:eastAsia="仿宋" w:cs="仿宋"/>
                <w:b/>
                <w:bCs/>
                <w:sz w:val="18"/>
                <w:szCs w:val="18"/>
              </w:rPr>
              <w:t>（规格型号）</w:t>
            </w:r>
          </w:p>
        </w:tc>
        <w:tc>
          <w:tcPr>
            <w:tcW w:w="1351" w:type="dxa"/>
            <w:gridSpan w:val="3"/>
            <w:tcBorders>
              <w:top w:val="single" w:color="auto" w:sz="4" w:space="0"/>
              <w:left w:val="single" w:color="auto" w:sz="2" w:space="0"/>
              <w:bottom w:val="single" w:color="auto" w:sz="2" w:space="0"/>
              <w:right w:val="single" w:color="auto" w:sz="2" w:space="0"/>
            </w:tcBorders>
            <w:vAlign w:val="center"/>
          </w:tcPr>
          <w:p>
            <w:pPr>
              <w:jc w:val="center"/>
              <w:rPr>
                <w:rFonts w:hint="eastAsia" w:ascii="仿宋" w:hAnsi="仿宋" w:eastAsia="仿宋" w:cs="仿宋"/>
                <w:b/>
                <w:bCs/>
                <w:sz w:val="18"/>
                <w:szCs w:val="18"/>
              </w:rPr>
            </w:pPr>
            <w:r>
              <w:rPr>
                <w:rFonts w:hint="eastAsia" w:ascii="仿宋" w:hAnsi="仿宋" w:eastAsia="仿宋" w:cs="仿宋"/>
                <w:b/>
                <w:bCs/>
                <w:sz w:val="18"/>
                <w:szCs w:val="18"/>
              </w:rPr>
              <w:t>生产厂家（产地）</w:t>
            </w:r>
          </w:p>
        </w:tc>
        <w:tc>
          <w:tcPr>
            <w:tcW w:w="691"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 w:hAnsi="仿宋" w:eastAsia="仿宋" w:cs="仿宋"/>
                <w:b/>
                <w:bCs/>
                <w:sz w:val="18"/>
                <w:szCs w:val="18"/>
              </w:rPr>
            </w:pPr>
            <w:r>
              <w:rPr>
                <w:rFonts w:hint="eastAsia" w:ascii="仿宋" w:hAnsi="仿宋" w:eastAsia="仿宋" w:cs="仿宋"/>
                <w:b/>
                <w:bCs/>
                <w:sz w:val="18"/>
                <w:szCs w:val="18"/>
              </w:rPr>
              <w:t>数量</w:t>
            </w:r>
          </w:p>
        </w:tc>
        <w:tc>
          <w:tcPr>
            <w:tcW w:w="874" w:type="dxa"/>
            <w:gridSpan w:val="2"/>
            <w:tcBorders>
              <w:top w:val="single" w:color="auto" w:sz="2" w:space="0"/>
              <w:left w:val="single" w:color="auto" w:sz="2" w:space="0"/>
              <w:bottom w:val="single" w:color="auto" w:sz="2" w:space="0"/>
              <w:right w:val="single" w:color="auto" w:sz="4" w:space="0"/>
            </w:tcBorders>
            <w:vAlign w:val="center"/>
          </w:tcPr>
          <w:p>
            <w:pPr>
              <w:jc w:val="center"/>
              <w:rPr>
                <w:rFonts w:hint="eastAsia" w:ascii="仿宋" w:hAnsi="仿宋" w:eastAsia="仿宋" w:cs="仿宋"/>
                <w:b/>
                <w:bCs/>
                <w:sz w:val="18"/>
                <w:szCs w:val="18"/>
              </w:rPr>
            </w:pPr>
            <w:r>
              <w:rPr>
                <w:rFonts w:hint="eastAsia" w:ascii="仿宋" w:hAnsi="仿宋" w:eastAsia="仿宋" w:cs="仿宋"/>
                <w:b/>
                <w:bCs/>
                <w:sz w:val="18"/>
                <w:szCs w:val="18"/>
              </w:rPr>
              <w:t>单位</w:t>
            </w:r>
          </w:p>
        </w:tc>
        <w:tc>
          <w:tcPr>
            <w:tcW w:w="1179" w:type="dxa"/>
            <w:tcBorders>
              <w:top w:val="single" w:color="auto" w:sz="4" w:space="0"/>
              <w:left w:val="single" w:color="auto" w:sz="4" w:space="0"/>
              <w:bottom w:val="single" w:color="auto" w:sz="2" w:space="0"/>
              <w:right w:val="single" w:color="auto" w:sz="12" w:space="0"/>
            </w:tcBorders>
            <w:vAlign w:val="center"/>
          </w:tcPr>
          <w:p>
            <w:pPr>
              <w:jc w:val="center"/>
              <w:rPr>
                <w:rFonts w:hint="eastAsia" w:ascii="仿宋" w:hAnsi="仿宋" w:eastAsia="仿宋" w:cs="仿宋"/>
                <w:b/>
                <w:bCs/>
                <w:sz w:val="18"/>
                <w:szCs w:val="18"/>
              </w:rPr>
            </w:pPr>
            <w:r>
              <w:rPr>
                <w:rFonts w:hint="eastAsia" w:ascii="仿宋" w:hAnsi="仿宋" w:eastAsia="仿宋" w:cs="仿宋"/>
                <w:b/>
                <w:bCs/>
                <w:sz w:val="18"/>
                <w:szCs w:val="18"/>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64" w:type="dxa"/>
            <w:tcBorders>
              <w:top w:val="single" w:color="auto" w:sz="2" w:space="0"/>
              <w:left w:val="single" w:color="auto" w:sz="12" w:space="0"/>
              <w:bottom w:val="single" w:color="auto" w:sz="2" w:space="0"/>
              <w:right w:val="single" w:color="auto" w:sz="2" w:space="0"/>
            </w:tcBorders>
            <w:vAlign w:val="center"/>
          </w:tcPr>
          <w:p>
            <w:pPr>
              <w:tabs>
                <w:tab w:val="left" w:pos="2880"/>
              </w:tabs>
              <w:snapToGrid w:val="0"/>
              <w:jc w:val="center"/>
              <w:rPr>
                <w:rFonts w:hint="eastAsia" w:ascii="仿宋" w:hAnsi="仿宋" w:eastAsia="仿宋" w:cs="仿宋"/>
                <w:sz w:val="18"/>
                <w:szCs w:val="18"/>
              </w:rPr>
            </w:pPr>
          </w:p>
        </w:tc>
        <w:tc>
          <w:tcPr>
            <w:tcW w:w="1657" w:type="dxa"/>
            <w:gridSpan w:val="3"/>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仿宋" w:hAnsi="仿宋" w:eastAsia="仿宋" w:cs="仿宋"/>
                <w:kern w:val="0"/>
                <w:sz w:val="18"/>
                <w:szCs w:val="18"/>
              </w:rPr>
            </w:pPr>
          </w:p>
        </w:tc>
        <w:tc>
          <w:tcPr>
            <w:tcW w:w="2382" w:type="dxa"/>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napToGrid w:val="0"/>
              <w:jc w:val="center"/>
              <w:rPr>
                <w:rFonts w:hint="eastAsia" w:ascii="仿宋" w:hAnsi="仿宋" w:eastAsia="仿宋" w:cs="仿宋"/>
                <w:kern w:val="0"/>
                <w:sz w:val="18"/>
                <w:szCs w:val="18"/>
              </w:rPr>
            </w:pPr>
          </w:p>
        </w:tc>
        <w:tc>
          <w:tcPr>
            <w:tcW w:w="1351" w:type="dxa"/>
            <w:gridSpan w:val="3"/>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仿宋" w:hAnsi="仿宋" w:eastAsia="仿宋" w:cs="仿宋"/>
                <w:color w:val="000000"/>
                <w:sz w:val="18"/>
                <w:szCs w:val="18"/>
              </w:rPr>
            </w:pPr>
          </w:p>
        </w:tc>
        <w:tc>
          <w:tcPr>
            <w:tcW w:w="691" w:type="dxa"/>
            <w:gridSpan w:val="2"/>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仿宋" w:hAnsi="仿宋" w:eastAsia="仿宋" w:cs="仿宋"/>
                <w:kern w:val="0"/>
                <w:sz w:val="18"/>
                <w:szCs w:val="18"/>
              </w:rPr>
            </w:pPr>
          </w:p>
        </w:tc>
        <w:tc>
          <w:tcPr>
            <w:tcW w:w="874" w:type="dxa"/>
            <w:gridSpan w:val="2"/>
            <w:tcBorders>
              <w:top w:val="single" w:color="auto" w:sz="2" w:space="0"/>
              <w:left w:val="single" w:color="auto" w:sz="2" w:space="0"/>
              <w:bottom w:val="single" w:color="auto" w:sz="2" w:space="0"/>
              <w:right w:val="single" w:color="auto" w:sz="2" w:space="0"/>
            </w:tcBorders>
            <w:vAlign w:val="center"/>
          </w:tcPr>
          <w:p>
            <w:pPr>
              <w:tabs>
                <w:tab w:val="left" w:pos="2880"/>
              </w:tabs>
              <w:snapToGrid w:val="0"/>
              <w:jc w:val="center"/>
              <w:rPr>
                <w:rFonts w:hint="eastAsia" w:ascii="仿宋" w:hAnsi="仿宋" w:eastAsia="仿宋" w:cs="仿宋"/>
                <w:sz w:val="18"/>
                <w:szCs w:val="18"/>
              </w:rPr>
            </w:pPr>
          </w:p>
        </w:tc>
        <w:tc>
          <w:tcPr>
            <w:tcW w:w="1179" w:type="dxa"/>
            <w:tcBorders>
              <w:top w:val="single" w:color="auto" w:sz="2" w:space="0"/>
              <w:left w:val="single" w:color="auto" w:sz="2" w:space="0"/>
              <w:bottom w:val="single" w:color="auto" w:sz="2" w:space="0"/>
              <w:right w:val="single" w:color="auto" w:sz="12" w:space="0"/>
            </w:tcBorders>
            <w:vAlign w:val="center"/>
          </w:tcPr>
          <w:p>
            <w:pPr>
              <w:tabs>
                <w:tab w:val="left" w:pos="2880"/>
              </w:tabs>
              <w:snapToGrid w:val="0"/>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64" w:type="dxa"/>
            <w:tcBorders>
              <w:top w:val="single" w:color="auto" w:sz="2" w:space="0"/>
              <w:left w:val="single" w:color="auto" w:sz="12" w:space="0"/>
              <w:bottom w:val="single" w:color="auto" w:sz="2" w:space="0"/>
              <w:right w:val="single" w:color="auto" w:sz="2" w:space="0"/>
            </w:tcBorders>
            <w:vAlign w:val="center"/>
          </w:tcPr>
          <w:p>
            <w:pPr>
              <w:tabs>
                <w:tab w:val="left" w:pos="2880"/>
              </w:tabs>
              <w:snapToGrid w:val="0"/>
              <w:jc w:val="center"/>
              <w:rPr>
                <w:rFonts w:hint="eastAsia" w:ascii="仿宋" w:hAnsi="仿宋" w:eastAsia="仿宋" w:cs="仿宋"/>
                <w:sz w:val="18"/>
                <w:szCs w:val="18"/>
              </w:rPr>
            </w:pPr>
          </w:p>
        </w:tc>
        <w:tc>
          <w:tcPr>
            <w:tcW w:w="1657" w:type="dxa"/>
            <w:gridSpan w:val="3"/>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仿宋" w:hAnsi="仿宋" w:eastAsia="仿宋" w:cs="仿宋"/>
                <w:kern w:val="0"/>
                <w:sz w:val="18"/>
                <w:szCs w:val="18"/>
              </w:rPr>
            </w:pPr>
          </w:p>
        </w:tc>
        <w:tc>
          <w:tcPr>
            <w:tcW w:w="2382" w:type="dxa"/>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napToGrid w:val="0"/>
              <w:jc w:val="center"/>
              <w:rPr>
                <w:rFonts w:hint="eastAsia" w:ascii="仿宋" w:hAnsi="仿宋" w:eastAsia="仿宋" w:cs="仿宋"/>
                <w:kern w:val="0"/>
                <w:sz w:val="18"/>
                <w:szCs w:val="18"/>
              </w:rPr>
            </w:pPr>
          </w:p>
        </w:tc>
        <w:tc>
          <w:tcPr>
            <w:tcW w:w="1351" w:type="dxa"/>
            <w:gridSpan w:val="3"/>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仿宋" w:hAnsi="仿宋" w:eastAsia="仿宋" w:cs="仿宋"/>
                <w:color w:val="000000"/>
                <w:sz w:val="18"/>
                <w:szCs w:val="18"/>
              </w:rPr>
            </w:pPr>
          </w:p>
        </w:tc>
        <w:tc>
          <w:tcPr>
            <w:tcW w:w="691" w:type="dxa"/>
            <w:gridSpan w:val="2"/>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仿宋" w:hAnsi="仿宋" w:eastAsia="仿宋" w:cs="仿宋"/>
                <w:kern w:val="0"/>
                <w:sz w:val="18"/>
                <w:szCs w:val="18"/>
              </w:rPr>
            </w:pPr>
          </w:p>
        </w:tc>
        <w:tc>
          <w:tcPr>
            <w:tcW w:w="874" w:type="dxa"/>
            <w:gridSpan w:val="2"/>
            <w:tcBorders>
              <w:top w:val="single" w:color="auto" w:sz="2" w:space="0"/>
              <w:left w:val="single" w:color="auto" w:sz="2" w:space="0"/>
              <w:bottom w:val="single" w:color="auto" w:sz="2" w:space="0"/>
              <w:right w:val="single" w:color="auto" w:sz="2" w:space="0"/>
            </w:tcBorders>
            <w:vAlign w:val="center"/>
          </w:tcPr>
          <w:p>
            <w:pPr>
              <w:tabs>
                <w:tab w:val="left" w:pos="2880"/>
              </w:tabs>
              <w:snapToGrid w:val="0"/>
              <w:jc w:val="center"/>
              <w:rPr>
                <w:rFonts w:hint="eastAsia" w:ascii="仿宋" w:hAnsi="仿宋" w:eastAsia="仿宋" w:cs="仿宋"/>
                <w:sz w:val="18"/>
                <w:szCs w:val="18"/>
              </w:rPr>
            </w:pPr>
          </w:p>
        </w:tc>
        <w:tc>
          <w:tcPr>
            <w:tcW w:w="1179" w:type="dxa"/>
            <w:tcBorders>
              <w:top w:val="single" w:color="auto" w:sz="2" w:space="0"/>
              <w:left w:val="single" w:color="auto" w:sz="2" w:space="0"/>
              <w:bottom w:val="single" w:color="auto" w:sz="2" w:space="0"/>
              <w:right w:val="single" w:color="auto" w:sz="12" w:space="0"/>
            </w:tcBorders>
            <w:vAlign w:val="center"/>
          </w:tcPr>
          <w:p>
            <w:pPr>
              <w:tabs>
                <w:tab w:val="left" w:pos="2880"/>
              </w:tabs>
              <w:snapToGrid w:val="0"/>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64" w:type="dxa"/>
            <w:tcBorders>
              <w:top w:val="single" w:color="auto" w:sz="2" w:space="0"/>
              <w:left w:val="single" w:color="auto" w:sz="12" w:space="0"/>
              <w:bottom w:val="single" w:color="auto" w:sz="2" w:space="0"/>
              <w:right w:val="single" w:color="auto" w:sz="2" w:space="0"/>
            </w:tcBorders>
            <w:vAlign w:val="center"/>
          </w:tcPr>
          <w:p>
            <w:pPr>
              <w:tabs>
                <w:tab w:val="left" w:pos="2880"/>
              </w:tabs>
              <w:snapToGrid w:val="0"/>
              <w:rPr>
                <w:rFonts w:hint="eastAsia" w:ascii="仿宋" w:hAnsi="仿宋" w:eastAsia="仿宋" w:cs="仿宋"/>
                <w:sz w:val="18"/>
                <w:szCs w:val="18"/>
              </w:rPr>
            </w:pPr>
          </w:p>
        </w:tc>
        <w:tc>
          <w:tcPr>
            <w:tcW w:w="1657" w:type="dxa"/>
            <w:gridSpan w:val="3"/>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仿宋" w:hAnsi="仿宋" w:eastAsia="仿宋" w:cs="仿宋"/>
                <w:kern w:val="0"/>
                <w:sz w:val="18"/>
                <w:szCs w:val="18"/>
              </w:rPr>
            </w:pPr>
          </w:p>
        </w:tc>
        <w:tc>
          <w:tcPr>
            <w:tcW w:w="2382" w:type="dxa"/>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napToGrid w:val="0"/>
              <w:jc w:val="center"/>
              <w:rPr>
                <w:rFonts w:hint="eastAsia" w:ascii="仿宋" w:hAnsi="仿宋" w:eastAsia="仿宋" w:cs="仿宋"/>
                <w:kern w:val="0"/>
                <w:sz w:val="18"/>
                <w:szCs w:val="18"/>
              </w:rPr>
            </w:pPr>
          </w:p>
        </w:tc>
        <w:tc>
          <w:tcPr>
            <w:tcW w:w="1351" w:type="dxa"/>
            <w:gridSpan w:val="3"/>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仿宋" w:hAnsi="仿宋" w:eastAsia="仿宋" w:cs="仿宋"/>
                <w:color w:val="000000"/>
                <w:sz w:val="18"/>
                <w:szCs w:val="18"/>
              </w:rPr>
            </w:pPr>
          </w:p>
        </w:tc>
        <w:tc>
          <w:tcPr>
            <w:tcW w:w="691" w:type="dxa"/>
            <w:gridSpan w:val="2"/>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仿宋" w:hAnsi="仿宋" w:eastAsia="仿宋" w:cs="仿宋"/>
                <w:kern w:val="0"/>
                <w:sz w:val="18"/>
                <w:szCs w:val="18"/>
              </w:rPr>
            </w:pPr>
          </w:p>
        </w:tc>
        <w:tc>
          <w:tcPr>
            <w:tcW w:w="874" w:type="dxa"/>
            <w:gridSpan w:val="2"/>
            <w:tcBorders>
              <w:top w:val="single" w:color="auto" w:sz="2" w:space="0"/>
              <w:left w:val="single" w:color="auto" w:sz="2" w:space="0"/>
              <w:bottom w:val="single" w:color="auto" w:sz="2" w:space="0"/>
              <w:right w:val="single" w:color="auto" w:sz="2" w:space="0"/>
            </w:tcBorders>
            <w:vAlign w:val="center"/>
          </w:tcPr>
          <w:p>
            <w:pPr>
              <w:tabs>
                <w:tab w:val="left" w:pos="2880"/>
              </w:tabs>
              <w:snapToGrid w:val="0"/>
              <w:jc w:val="center"/>
              <w:rPr>
                <w:rFonts w:hint="eastAsia" w:ascii="仿宋" w:hAnsi="仿宋" w:eastAsia="仿宋" w:cs="仿宋"/>
                <w:sz w:val="18"/>
                <w:szCs w:val="18"/>
              </w:rPr>
            </w:pPr>
          </w:p>
        </w:tc>
        <w:tc>
          <w:tcPr>
            <w:tcW w:w="1179" w:type="dxa"/>
            <w:tcBorders>
              <w:top w:val="single" w:color="auto" w:sz="2" w:space="0"/>
              <w:left w:val="single" w:color="auto" w:sz="2" w:space="0"/>
              <w:bottom w:val="single" w:color="auto" w:sz="2" w:space="0"/>
              <w:right w:val="single" w:color="auto" w:sz="12" w:space="0"/>
            </w:tcBorders>
            <w:vAlign w:val="center"/>
          </w:tcPr>
          <w:p>
            <w:pPr>
              <w:tabs>
                <w:tab w:val="left" w:pos="2880"/>
              </w:tabs>
              <w:snapToGrid w:val="0"/>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64" w:type="dxa"/>
            <w:vMerge w:val="restart"/>
            <w:tcBorders>
              <w:top w:val="single" w:color="auto" w:sz="12" w:space="0"/>
              <w:left w:val="single" w:color="auto" w:sz="12" w:space="0"/>
              <w:bottom w:val="single" w:color="auto" w:sz="4" w:space="0"/>
              <w:right w:val="single" w:color="auto" w:sz="4" w:space="0"/>
            </w:tcBorders>
            <w:textDirection w:val="tbRlV"/>
            <w:vAlign w:val="center"/>
          </w:tcPr>
          <w:p>
            <w:pPr>
              <w:ind w:left="113" w:right="113"/>
              <w:jc w:val="center"/>
              <w:rPr>
                <w:rFonts w:hint="eastAsia" w:ascii="仿宋" w:hAnsi="仿宋" w:eastAsia="仿宋" w:cs="仿宋"/>
                <w:sz w:val="18"/>
                <w:szCs w:val="18"/>
              </w:rPr>
            </w:pPr>
            <w:r>
              <w:rPr>
                <w:rFonts w:hint="eastAsia" w:ascii="仿宋" w:hAnsi="仿宋" w:eastAsia="仿宋" w:cs="仿宋"/>
                <w:sz w:val="18"/>
                <w:szCs w:val="18"/>
              </w:rPr>
              <w:t>实 物 验 收 情 况</w:t>
            </w:r>
          </w:p>
        </w:tc>
        <w:tc>
          <w:tcPr>
            <w:tcW w:w="8137" w:type="dxa"/>
            <w:gridSpan w:val="14"/>
            <w:tcBorders>
              <w:top w:val="single" w:color="auto" w:sz="12" w:space="0"/>
              <w:left w:val="single" w:color="auto" w:sz="4" w:space="0"/>
              <w:bottom w:val="single" w:color="auto" w:sz="4" w:space="0"/>
              <w:right w:val="single" w:color="auto" w:sz="12" w:space="0"/>
            </w:tcBorders>
          </w:tcPr>
          <w:p>
            <w:pPr>
              <w:rPr>
                <w:rFonts w:hint="eastAsia" w:ascii="仿宋" w:hAnsi="仿宋" w:eastAsia="仿宋" w:cs="仿宋"/>
                <w:sz w:val="18"/>
                <w:szCs w:val="18"/>
              </w:rPr>
            </w:pPr>
            <w:r>
              <w:rPr>
                <w:rFonts w:hint="eastAsia" w:ascii="仿宋" w:hAnsi="仿宋" w:eastAsia="仿宋" w:cs="仿宋"/>
                <w:sz w:val="18"/>
                <w:szCs w:val="18"/>
              </w:rPr>
              <w:t>外观质量（有无残损，程度如何）。</w:t>
            </w:r>
          </w:p>
          <w:p>
            <w:pPr>
              <w:rPr>
                <w:rFonts w:hint="eastAsia" w:ascii="仿宋" w:hAnsi="仿宋" w:eastAsia="仿宋" w:cs="仿宋"/>
                <w:sz w:val="18"/>
                <w:szCs w:val="18"/>
              </w:rPr>
            </w:pPr>
          </w:p>
          <w:p>
            <w:pP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664" w:type="dxa"/>
            <w:vMerge w:val="continue"/>
            <w:tcBorders>
              <w:top w:val="single" w:color="auto" w:sz="12" w:space="0"/>
              <w:left w:val="single" w:color="auto" w:sz="12" w:space="0"/>
              <w:bottom w:val="single" w:color="auto" w:sz="4" w:space="0"/>
              <w:right w:val="single" w:color="auto" w:sz="4" w:space="0"/>
            </w:tcBorders>
            <w:vAlign w:val="center"/>
          </w:tcPr>
          <w:p>
            <w:pPr>
              <w:widowControl/>
              <w:jc w:val="left"/>
              <w:rPr>
                <w:rFonts w:hint="eastAsia" w:ascii="仿宋" w:hAnsi="仿宋" w:eastAsia="仿宋" w:cs="仿宋"/>
                <w:sz w:val="18"/>
                <w:szCs w:val="18"/>
              </w:rPr>
            </w:pPr>
          </w:p>
        </w:tc>
        <w:tc>
          <w:tcPr>
            <w:tcW w:w="8137" w:type="dxa"/>
            <w:gridSpan w:val="14"/>
            <w:tcBorders>
              <w:top w:val="single" w:color="auto" w:sz="4" w:space="0"/>
              <w:left w:val="single" w:color="auto" w:sz="4" w:space="0"/>
              <w:bottom w:val="single" w:color="auto" w:sz="4" w:space="0"/>
              <w:right w:val="single" w:color="auto" w:sz="12" w:space="0"/>
            </w:tcBorders>
          </w:tcPr>
          <w:p>
            <w:pPr>
              <w:rPr>
                <w:rFonts w:hint="eastAsia" w:ascii="仿宋" w:hAnsi="仿宋" w:eastAsia="仿宋" w:cs="仿宋"/>
                <w:sz w:val="18"/>
                <w:szCs w:val="18"/>
              </w:rPr>
            </w:pPr>
            <w:r>
              <w:rPr>
                <w:rFonts w:hint="eastAsia" w:ascii="仿宋" w:hAnsi="仿宋" w:eastAsia="仿宋" w:cs="仿宋"/>
                <w:sz w:val="18"/>
                <w:szCs w:val="18"/>
              </w:rPr>
              <w:t>清点数量（主机、配件、型号、规格、产地是否与招投标文件、合同、发票、装箱单的数量相同，若有出入，说明缺件名称、规格、数量、金额）。</w:t>
            </w:r>
          </w:p>
          <w:p>
            <w:pP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64" w:type="dxa"/>
            <w:vMerge w:val="continue"/>
            <w:tcBorders>
              <w:top w:val="single" w:color="auto" w:sz="12" w:space="0"/>
              <w:left w:val="single" w:color="auto" w:sz="12" w:space="0"/>
              <w:bottom w:val="single" w:color="auto" w:sz="4" w:space="0"/>
              <w:right w:val="single" w:color="auto" w:sz="4" w:space="0"/>
            </w:tcBorders>
            <w:vAlign w:val="center"/>
          </w:tcPr>
          <w:p>
            <w:pPr>
              <w:widowControl/>
              <w:jc w:val="left"/>
              <w:rPr>
                <w:rFonts w:hint="eastAsia" w:ascii="仿宋" w:hAnsi="仿宋" w:eastAsia="仿宋" w:cs="仿宋"/>
                <w:sz w:val="18"/>
                <w:szCs w:val="18"/>
              </w:rPr>
            </w:pPr>
          </w:p>
        </w:tc>
        <w:tc>
          <w:tcPr>
            <w:tcW w:w="8137" w:type="dxa"/>
            <w:gridSpan w:val="14"/>
            <w:tcBorders>
              <w:top w:val="single" w:color="auto" w:sz="4" w:space="0"/>
              <w:left w:val="single" w:color="auto" w:sz="4" w:space="0"/>
              <w:bottom w:val="single" w:color="auto" w:sz="4" w:space="0"/>
              <w:right w:val="single" w:color="auto" w:sz="12" w:space="0"/>
            </w:tcBorders>
          </w:tcPr>
          <w:p>
            <w:pPr>
              <w:rPr>
                <w:rFonts w:hint="eastAsia" w:ascii="仿宋" w:hAnsi="仿宋" w:eastAsia="仿宋" w:cs="仿宋"/>
                <w:sz w:val="18"/>
                <w:szCs w:val="18"/>
              </w:rPr>
            </w:pPr>
            <w:r>
              <w:rPr>
                <w:rFonts w:hint="eastAsia" w:ascii="仿宋" w:hAnsi="仿宋" w:eastAsia="仿宋" w:cs="仿宋"/>
                <w:sz w:val="18"/>
                <w:szCs w:val="18"/>
              </w:rPr>
              <w:t>仪器设备安装调试及使用人员培训情况（是否完成整套设备安装、有无安装缺陷，使用人员是否经过培训）。</w:t>
            </w:r>
          </w:p>
          <w:p>
            <w:pPr>
              <w:pStyle w:val="2"/>
              <w:ind w:firstLine="0" w:firstLineChars="0"/>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664" w:type="dxa"/>
            <w:tcBorders>
              <w:top w:val="single" w:color="auto" w:sz="12" w:space="0"/>
              <w:left w:val="single" w:color="auto" w:sz="12" w:space="0"/>
              <w:bottom w:val="single" w:color="auto" w:sz="4" w:space="0"/>
              <w:right w:val="single" w:color="auto" w:sz="4" w:space="0"/>
            </w:tcBorders>
            <w:textDirection w:val="tbRlV"/>
            <w:vAlign w:val="center"/>
          </w:tcPr>
          <w:p>
            <w:pPr>
              <w:spacing w:line="220" w:lineRule="atLeast"/>
              <w:jc w:val="center"/>
              <w:rPr>
                <w:rFonts w:hint="eastAsia" w:ascii="仿宋" w:hAnsi="仿宋" w:eastAsia="仿宋" w:cs="仿宋"/>
                <w:sz w:val="18"/>
                <w:szCs w:val="18"/>
              </w:rPr>
            </w:pPr>
            <w:r>
              <w:rPr>
                <w:rFonts w:hint="eastAsia" w:ascii="仿宋" w:hAnsi="仿宋" w:eastAsia="仿宋" w:cs="仿宋"/>
                <w:sz w:val="18"/>
                <w:szCs w:val="18"/>
              </w:rPr>
              <w:t>技术验收情况</w:t>
            </w:r>
          </w:p>
        </w:tc>
        <w:tc>
          <w:tcPr>
            <w:tcW w:w="8137" w:type="dxa"/>
            <w:gridSpan w:val="14"/>
            <w:tcBorders>
              <w:top w:val="single" w:color="auto" w:sz="12" w:space="0"/>
              <w:left w:val="single" w:color="auto" w:sz="4" w:space="0"/>
              <w:bottom w:val="single" w:color="auto" w:sz="4" w:space="0"/>
              <w:right w:val="single" w:color="auto" w:sz="12" w:space="0"/>
            </w:tcBorders>
          </w:tcPr>
          <w:p>
            <w:pPr>
              <w:rPr>
                <w:rFonts w:hint="eastAsia" w:ascii="仿宋" w:hAnsi="仿宋" w:eastAsia="仿宋" w:cs="仿宋"/>
                <w:sz w:val="18"/>
                <w:szCs w:val="18"/>
              </w:rPr>
            </w:pPr>
            <w:r>
              <w:rPr>
                <w:rFonts w:hint="eastAsia" w:ascii="仿宋" w:hAnsi="仿宋" w:eastAsia="仿宋" w:cs="仿宋"/>
                <w:sz w:val="18"/>
                <w:szCs w:val="18"/>
              </w:rPr>
              <w:t>依据合同约定技术条款逐一测定设备的性能和各项技术指标，所测结果是否与合同约定技术条款规定的一样，性能是否稳定，配件是否齐全，是否有安全隐患，具体说明。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atLeast"/>
        </w:trPr>
        <w:tc>
          <w:tcPr>
            <w:tcW w:w="664" w:type="dxa"/>
            <w:tcBorders>
              <w:top w:val="single" w:color="auto" w:sz="12" w:space="0"/>
              <w:left w:val="single" w:color="auto" w:sz="12" w:space="0"/>
              <w:bottom w:val="single" w:color="auto" w:sz="12" w:space="0"/>
              <w:right w:val="single" w:color="auto" w:sz="4" w:space="0"/>
            </w:tcBorders>
            <w:textDirection w:val="tbRlV"/>
            <w:vAlign w:val="center"/>
          </w:tcPr>
          <w:p>
            <w:pPr>
              <w:jc w:val="center"/>
              <w:rPr>
                <w:rFonts w:hint="eastAsia" w:ascii="仿宋" w:hAnsi="仿宋" w:eastAsia="仿宋" w:cs="仿宋"/>
                <w:sz w:val="18"/>
                <w:szCs w:val="18"/>
              </w:rPr>
            </w:pPr>
            <w:r>
              <w:rPr>
                <w:rFonts w:hint="eastAsia" w:ascii="仿宋" w:hAnsi="仿宋" w:eastAsia="仿宋" w:cs="仿宋"/>
                <w:sz w:val="18"/>
                <w:szCs w:val="18"/>
              </w:rPr>
              <w:t>初步验收情况</w:t>
            </w:r>
          </w:p>
        </w:tc>
        <w:tc>
          <w:tcPr>
            <w:tcW w:w="8137" w:type="dxa"/>
            <w:gridSpan w:val="14"/>
            <w:tcBorders>
              <w:top w:val="single" w:color="auto" w:sz="12" w:space="0"/>
              <w:left w:val="single" w:color="auto" w:sz="4" w:space="0"/>
              <w:bottom w:val="single" w:color="auto" w:sz="12" w:space="0"/>
              <w:right w:val="single" w:color="auto" w:sz="12" w:space="0"/>
            </w:tcBorders>
            <w:vAlign w:val="center"/>
          </w:tcPr>
          <w:p>
            <w:pPr>
              <w:spacing w:line="240" w:lineRule="atLeast"/>
              <w:rPr>
                <w:rFonts w:hint="eastAsia" w:ascii="仿宋" w:hAnsi="仿宋" w:eastAsia="仿宋" w:cs="仿宋"/>
                <w:sz w:val="18"/>
                <w:szCs w:val="18"/>
              </w:rPr>
            </w:pPr>
            <w:r>
              <w:rPr>
                <w:rFonts w:hint="eastAsia" w:ascii="仿宋" w:hAnsi="仿宋" w:eastAsia="仿宋" w:cs="仿宋"/>
                <w:sz w:val="18"/>
                <w:szCs w:val="18"/>
              </w:rPr>
              <w:t>□通过验收                  □整改后再组织验收</w:t>
            </w:r>
          </w:p>
          <w:p>
            <w:pPr>
              <w:adjustRightInd w:val="0"/>
              <w:snapToGrid w:val="0"/>
              <w:rPr>
                <w:rFonts w:hint="eastAsia" w:ascii="仿宋" w:hAnsi="仿宋" w:eastAsia="仿宋" w:cs="仿宋"/>
                <w:sz w:val="18"/>
                <w:szCs w:val="18"/>
              </w:rPr>
            </w:pPr>
            <w:r>
              <w:rPr>
                <w:rFonts w:hint="eastAsia" w:ascii="仿宋" w:hAnsi="仿宋" w:eastAsia="仿宋" w:cs="仿宋"/>
                <w:sz w:val="18"/>
                <w:szCs w:val="18"/>
              </w:rPr>
              <w:t>□不通过验收  索赔要求      □其他结论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trPr>
        <w:tc>
          <w:tcPr>
            <w:tcW w:w="1289" w:type="dxa"/>
            <w:gridSpan w:val="3"/>
            <w:tcBorders>
              <w:top w:val="single" w:color="auto" w:sz="12" w:space="0"/>
              <w:left w:val="single" w:color="auto" w:sz="12" w:space="0"/>
              <w:bottom w:val="single" w:color="auto" w:sz="12" w:space="0"/>
              <w:right w:val="single" w:color="auto" w:sz="2" w:space="0"/>
            </w:tcBorders>
            <w:vAlign w:val="center"/>
          </w:tcPr>
          <w:p>
            <w:pPr>
              <w:spacing w:line="240" w:lineRule="atLeast"/>
              <w:jc w:val="center"/>
              <w:rPr>
                <w:rFonts w:hint="eastAsia" w:ascii="仿宋" w:hAnsi="仿宋" w:eastAsia="仿宋" w:cs="仿宋"/>
                <w:sz w:val="18"/>
                <w:szCs w:val="18"/>
              </w:rPr>
            </w:pPr>
            <w:r>
              <w:rPr>
                <w:rFonts w:hint="eastAsia" w:ascii="仿宋" w:hAnsi="仿宋" w:eastAsia="仿宋" w:cs="仿宋"/>
                <w:sz w:val="18"/>
                <w:szCs w:val="18"/>
              </w:rPr>
              <w:t>验收小组</w:t>
            </w:r>
          </w:p>
          <w:p>
            <w:pPr>
              <w:spacing w:line="240" w:lineRule="atLeast"/>
              <w:jc w:val="center"/>
              <w:rPr>
                <w:rFonts w:hint="eastAsia" w:ascii="仿宋" w:hAnsi="仿宋" w:eastAsia="仿宋" w:cs="仿宋"/>
                <w:sz w:val="18"/>
                <w:szCs w:val="18"/>
              </w:rPr>
            </w:pPr>
            <w:r>
              <w:rPr>
                <w:rFonts w:hint="eastAsia" w:ascii="仿宋" w:hAnsi="仿宋" w:eastAsia="仿宋" w:cs="仿宋"/>
                <w:sz w:val="18"/>
                <w:szCs w:val="18"/>
              </w:rPr>
              <w:t>成员签字</w:t>
            </w:r>
          </w:p>
        </w:tc>
        <w:tc>
          <w:tcPr>
            <w:tcW w:w="3414" w:type="dxa"/>
            <w:gridSpan w:val="4"/>
            <w:tcBorders>
              <w:top w:val="single" w:color="auto" w:sz="12" w:space="0"/>
              <w:left w:val="single" w:color="auto" w:sz="2" w:space="0"/>
              <w:bottom w:val="single" w:color="auto" w:sz="12" w:space="0"/>
              <w:right w:val="single" w:color="auto" w:sz="2" w:space="0"/>
            </w:tcBorders>
            <w:vAlign w:val="center"/>
          </w:tcPr>
          <w:p>
            <w:pPr>
              <w:spacing w:line="240" w:lineRule="atLeast"/>
              <w:jc w:val="center"/>
              <w:rPr>
                <w:rFonts w:hint="eastAsia" w:ascii="仿宋" w:hAnsi="仿宋" w:eastAsia="仿宋" w:cs="仿宋"/>
                <w:sz w:val="18"/>
                <w:szCs w:val="18"/>
              </w:rPr>
            </w:pPr>
          </w:p>
        </w:tc>
        <w:tc>
          <w:tcPr>
            <w:tcW w:w="1719" w:type="dxa"/>
            <w:gridSpan w:val="4"/>
            <w:tcBorders>
              <w:top w:val="single" w:color="auto" w:sz="12" w:space="0"/>
              <w:left w:val="single" w:color="auto" w:sz="2" w:space="0"/>
              <w:bottom w:val="single" w:color="auto" w:sz="12" w:space="0"/>
              <w:right w:val="single" w:color="auto" w:sz="2" w:space="0"/>
            </w:tcBorders>
            <w:vAlign w:val="center"/>
          </w:tcPr>
          <w:p>
            <w:pPr>
              <w:spacing w:line="240" w:lineRule="atLeast"/>
              <w:rPr>
                <w:rFonts w:hint="eastAsia" w:ascii="仿宋" w:hAnsi="仿宋" w:eastAsia="仿宋" w:cs="仿宋"/>
                <w:sz w:val="18"/>
                <w:szCs w:val="18"/>
              </w:rPr>
            </w:pPr>
            <w:r>
              <w:rPr>
                <w:rFonts w:hint="eastAsia" w:ascii="仿宋" w:hAnsi="仿宋" w:eastAsia="仿宋" w:cs="仿宋"/>
                <w:sz w:val="18"/>
                <w:szCs w:val="18"/>
              </w:rPr>
              <w:t xml:space="preserve">    供货商</w:t>
            </w:r>
          </w:p>
          <w:p>
            <w:pPr>
              <w:spacing w:line="240" w:lineRule="atLeast"/>
              <w:jc w:val="center"/>
              <w:rPr>
                <w:rFonts w:hint="eastAsia" w:ascii="仿宋" w:hAnsi="仿宋" w:eastAsia="仿宋" w:cs="仿宋"/>
                <w:sz w:val="18"/>
                <w:szCs w:val="18"/>
              </w:rPr>
            </w:pPr>
            <w:r>
              <w:rPr>
                <w:rFonts w:hint="eastAsia" w:ascii="仿宋" w:hAnsi="仿宋" w:eastAsia="仿宋" w:cs="仿宋"/>
                <w:sz w:val="18"/>
                <w:szCs w:val="18"/>
              </w:rPr>
              <w:t>授权代表签字</w:t>
            </w:r>
          </w:p>
        </w:tc>
        <w:tc>
          <w:tcPr>
            <w:tcW w:w="2376" w:type="dxa"/>
            <w:gridSpan w:val="4"/>
            <w:tcBorders>
              <w:top w:val="single" w:color="auto" w:sz="12" w:space="0"/>
              <w:left w:val="single" w:color="auto" w:sz="2" w:space="0"/>
              <w:bottom w:val="single" w:color="auto" w:sz="12" w:space="0"/>
              <w:right w:val="single" w:color="auto" w:sz="12" w:space="0"/>
            </w:tcBorders>
            <w:vAlign w:val="center"/>
          </w:tcPr>
          <w:p>
            <w:pPr>
              <w:spacing w:line="240" w:lineRule="atLeast"/>
              <w:jc w:val="center"/>
              <w:rPr>
                <w:rFonts w:hint="eastAsia" w:ascii="仿宋" w:hAnsi="仿宋" w:eastAsia="仿宋" w:cs="仿宋"/>
                <w:sz w:val="18"/>
                <w:szCs w:val="18"/>
              </w:rPr>
            </w:pPr>
          </w:p>
        </w:tc>
      </w:tr>
    </w:tbl>
    <w:p>
      <w:pPr>
        <w:snapToGrid w:val="0"/>
        <w:spacing w:line="360" w:lineRule="auto"/>
        <w:rPr>
          <w:rFonts w:hint="eastAsia" w:ascii="仿宋" w:hAnsi="仿宋" w:eastAsia="仿宋" w:cs="仿宋"/>
          <w:sz w:val="28"/>
          <w:szCs w:val="28"/>
        </w:rPr>
      </w:pPr>
    </w:p>
    <w:p>
      <w:pPr>
        <w:snapToGrid w:val="0"/>
        <w:spacing w:line="360" w:lineRule="auto"/>
        <w:rPr>
          <w:rFonts w:hint="eastAsia" w:ascii="仿宋" w:hAnsi="仿宋" w:eastAsia="仿宋" w:cs="仿宋"/>
          <w:sz w:val="28"/>
          <w:szCs w:val="28"/>
        </w:rPr>
      </w:pPr>
    </w:p>
    <w:p>
      <w:pPr>
        <w:snapToGrid w:val="0"/>
        <w:spacing w:line="360" w:lineRule="auto"/>
        <w:rPr>
          <w:rFonts w:hint="eastAsia" w:ascii="仿宋" w:hAnsi="仿宋" w:eastAsia="仿宋" w:cs="仿宋"/>
          <w:sz w:val="28"/>
          <w:szCs w:val="28"/>
        </w:rPr>
      </w:pPr>
    </w:p>
    <w:p>
      <w:pPr>
        <w:snapToGrid w:val="0"/>
        <w:spacing w:line="360" w:lineRule="auto"/>
        <w:rPr>
          <w:rFonts w:hint="eastAsia" w:ascii="仿宋" w:hAnsi="仿宋" w:eastAsia="仿宋" w:cs="仿宋"/>
          <w:sz w:val="28"/>
          <w:szCs w:val="28"/>
        </w:rPr>
      </w:pPr>
    </w:p>
    <w:p>
      <w:pPr>
        <w:snapToGrid w:val="0"/>
        <w:spacing w:line="360" w:lineRule="auto"/>
        <w:rPr>
          <w:rFonts w:hint="eastAsia" w:ascii="仿宋" w:hAnsi="仿宋" w:eastAsia="仿宋" w:cs="仿宋"/>
          <w:sz w:val="28"/>
          <w:szCs w:val="28"/>
        </w:rPr>
      </w:pPr>
      <w:r>
        <w:rPr>
          <w:rFonts w:hint="eastAsia" w:ascii="仿宋" w:hAnsi="仿宋" w:eastAsia="仿宋" w:cs="仿宋"/>
          <w:sz w:val="28"/>
          <w:szCs w:val="28"/>
        </w:rPr>
        <w:t xml:space="preserve">附件5：                </w:t>
      </w:r>
    </w:p>
    <w:p>
      <w:pPr>
        <w:snapToGrid w:val="0"/>
        <w:spacing w:line="360" w:lineRule="auto"/>
        <w:jc w:val="center"/>
        <w:rPr>
          <w:rFonts w:hint="eastAsia" w:ascii="仿宋" w:hAnsi="仿宋" w:eastAsia="仿宋" w:cs="仿宋"/>
          <w:sz w:val="28"/>
          <w:szCs w:val="28"/>
          <w:lang w:eastAsia="zh-CN"/>
        </w:rPr>
      </w:pPr>
      <w:r>
        <w:rPr>
          <w:rFonts w:hint="eastAsia" w:ascii="仿宋" w:hAnsi="仿宋" w:eastAsia="仿宋" w:cs="仿宋"/>
          <w:b/>
          <w:bCs/>
          <w:sz w:val="36"/>
          <w:szCs w:val="36"/>
        </w:rPr>
        <w:t>成交通知书</w:t>
      </w:r>
      <w:r>
        <w:rPr>
          <w:rFonts w:hint="eastAsia" w:ascii="仿宋" w:hAnsi="仿宋" w:eastAsia="仿宋" w:cs="仿宋"/>
          <w:sz w:val="28"/>
          <w:szCs w:val="28"/>
          <w:lang w:eastAsia="zh-CN"/>
        </w:rPr>
        <w:drawing>
          <wp:inline distT="0" distB="0" distL="114300" distR="114300">
            <wp:extent cx="5472430" cy="7739380"/>
            <wp:effectExtent l="0" t="0" r="13970" b="13970"/>
            <wp:docPr id="1" name="图片 1" descr="郑州大学材料科学与工程学院铝电解能量流优化及智能调控技术研究与开发项目(郑州恒茂机电科技有限公司)-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郑州大学材料科学与工程学院铝电解能量流优化及智能调控技术研究与开发项目(郑州恒茂机电科技有限公司)-中标通知书"/>
                    <pic:cNvPicPr>
                      <a:picLocks noChangeAspect="1"/>
                    </pic:cNvPicPr>
                  </pic:nvPicPr>
                  <pic:blipFill>
                    <a:blip r:embed="rId5"/>
                    <a:stretch>
                      <a:fillRect/>
                    </a:stretch>
                  </pic:blipFill>
                  <pic:spPr>
                    <a:xfrm>
                      <a:off x="0" y="0"/>
                      <a:ext cx="5472430" cy="7739380"/>
                    </a:xfrm>
                    <a:prstGeom prst="rect">
                      <a:avLst/>
                    </a:prstGeom>
                  </pic:spPr>
                </pic:pic>
              </a:graphicData>
            </a:graphic>
          </wp:inline>
        </w:drawing>
      </w: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70525" cy="7674610"/>
            <wp:effectExtent l="0" t="0" r="15875" b="254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6"/>
                    <a:stretch>
                      <a:fillRect/>
                    </a:stretch>
                  </pic:blipFill>
                  <pic:spPr>
                    <a:xfrm>
                      <a:off x="0" y="0"/>
                      <a:ext cx="5470525" cy="7674610"/>
                    </a:xfrm>
                    <a:prstGeom prst="rect">
                      <a:avLst/>
                    </a:prstGeom>
                  </pic:spPr>
                </pic:pic>
              </a:graphicData>
            </a:graphic>
          </wp:inline>
        </w:drawing>
      </w: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71160" cy="7803515"/>
            <wp:effectExtent l="0" t="0" r="15240" b="6985"/>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5471160" cy="7803515"/>
                    </a:xfrm>
                    <a:prstGeom prst="rect">
                      <a:avLst/>
                    </a:prstGeom>
                  </pic:spPr>
                </pic:pic>
              </a:graphicData>
            </a:graphic>
          </wp:inline>
        </w:drawing>
      </w: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64175" cy="7644765"/>
            <wp:effectExtent l="0" t="0" r="3175" b="13335"/>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8"/>
                    <a:stretch>
                      <a:fillRect/>
                    </a:stretch>
                  </pic:blipFill>
                  <pic:spPr>
                    <a:xfrm>
                      <a:off x="0" y="0"/>
                      <a:ext cx="5464175" cy="7644765"/>
                    </a:xfrm>
                    <a:prstGeom prst="rect">
                      <a:avLst/>
                    </a:prstGeom>
                  </pic:spPr>
                </pic:pic>
              </a:graphicData>
            </a:graphic>
          </wp:inline>
        </w:drawing>
      </w: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67985" cy="7704455"/>
            <wp:effectExtent l="0" t="0" r="18415" b="10795"/>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9"/>
                    <a:stretch>
                      <a:fillRect/>
                    </a:stretch>
                  </pic:blipFill>
                  <pic:spPr>
                    <a:xfrm>
                      <a:off x="0" y="0"/>
                      <a:ext cx="5467985" cy="7704455"/>
                    </a:xfrm>
                    <a:prstGeom prst="rect">
                      <a:avLst/>
                    </a:prstGeom>
                  </pic:spPr>
                </pic:pic>
              </a:graphicData>
            </a:graphic>
          </wp:inline>
        </w:drawing>
      </w: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61635" cy="7810500"/>
            <wp:effectExtent l="0" t="0" r="5715" b="0"/>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10"/>
                    <a:stretch>
                      <a:fillRect/>
                    </a:stretch>
                  </pic:blipFill>
                  <pic:spPr>
                    <a:xfrm>
                      <a:off x="0" y="0"/>
                      <a:ext cx="5461635" cy="7810500"/>
                    </a:xfrm>
                    <a:prstGeom prst="rect">
                      <a:avLst/>
                    </a:prstGeom>
                  </pic:spPr>
                </pic:pic>
              </a:graphicData>
            </a:graphic>
          </wp:inline>
        </w:drawing>
      </w: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71795" cy="7702550"/>
            <wp:effectExtent l="0" t="0" r="14605" b="12700"/>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11"/>
                    <a:stretch>
                      <a:fillRect/>
                    </a:stretch>
                  </pic:blipFill>
                  <pic:spPr>
                    <a:xfrm>
                      <a:off x="0" y="0"/>
                      <a:ext cx="5471795" cy="7702550"/>
                    </a:xfrm>
                    <a:prstGeom prst="rect">
                      <a:avLst/>
                    </a:prstGeom>
                  </pic:spPr>
                </pic:pic>
              </a:graphicData>
            </a:graphic>
          </wp:inline>
        </w:drawing>
      </w: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64175" cy="7682230"/>
            <wp:effectExtent l="0" t="0" r="3175" b="13970"/>
            <wp:docPr id="17"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
                    <pic:cNvPicPr>
                      <a:picLocks noChangeAspect="1"/>
                    </pic:cNvPicPr>
                  </pic:nvPicPr>
                  <pic:blipFill>
                    <a:blip r:embed="rId12"/>
                    <a:stretch>
                      <a:fillRect/>
                    </a:stretch>
                  </pic:blipFill>
                  <pic:spPr>
                    <a:xfrm>
                      <a:off x="0" y="0"/>
                      <a:ext cx="5464175" cy="7682230"/>
                    </a:xfrm>
                    <a:prstGeom prst="rect">
                      <a:avLst/>
                    </a:prstGeom>
                  </pic:spPr>
                </pic:pic>
              </a:graphicData>
            </a:graphic>
          </wp:inline>
        </w:drawing>
      </w: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62905" cy="7668260"/>
            <wp:effectExtent l="0" t="0" r="4445" b="8890"/>
            <wp:docPr id="18" name="图片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
                    <pic:cNvPicPr>
                      <a:picLocks noChangeAspect="1"/>
                    </pic:cNvPicPr>
                  </pic:nvPicPr>
                  <pic:blipFill>
                    <a:blip r:embed="rId13"/>
                    <a:stretch>
                      <a:fillRect/>
                    </a:stretch>
                  </pic:blipFill>
                  <pic:spPr>
                    <a:xfrm>
                      <a:off x="0" y="0"/>
                      <a:ext cx="5462905" cy="7668260"/>
                    </a:xfrm>
                    <a:prstGeom prst="rect">
                      <a:avLst/>
                    </a:prstGeom>
                  </pic:spPr>
                </pic:pic>
              </a:graphicData>
            </a:graphic>
          </wp:inline>
        </w:drawing>
      </w: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64810" cy="7774940"/>
            <wp:effectExtent l="0" t="0" r="2540" b="16510"/>
            <wp:docPr id="19" name="图片 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
                    <pic:cNvPicPr>
                      <a:picLocks noChangeAspect="1"/>
                    </pic:cNvPicPr>
                  </pic:nvPicPr>
                  <pic:blipFill>
                    <a:blip r:embed="rId14"/>
                    <a:stretch>
                      <a:fillRect/>
                    </a:stretch>
                  </pic:blipFill>
                  <pic:spPr>
                    <a:xfrm>
                      <a:off x="0" y="0"/>
                      <a:ext cx="5464810" cy="7774940"/>
                    </a:xfrm>
                    <a:prstGeom prst="rect">
                      <a:avLst/>
                    </a:prstGeom>
                  </pic:spPr>
                </pic:pic>
              </a:graphicData>
            </a:graphic>
          </wp:inline>
        </w:drawing>
      </w: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p>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464175" cy="7608570"/>
            <wp:effectExtent l="0" t="0" r="3175" b="11430"/>
            <wp:docPr id="20" name="图片 2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0"/>
                    <pic:cNvPicPr>
                      <a:picLocks noChangeAspect="1"/>
                    </pic:cNvPicPr>
                  </pic:nvPicPr>
                  <pic:blipFill>
                    <a:blip r:embed="rId15"/>
                    <a:stretch>
                      <a:fillRect/>
                    </a:stretch>
                  </pic:blipFill>
                  <pic:spPr>
                    <a:xfrm>
                      <a:off x="0" y="0"/>
                      <a:ext cx="5464175" cy="7608570"/>
                    </a:xfrm>
                    <a:prstGeom prst="rect">
                      <a:avLst/>
                    </a:prstGeom>
                  </pic:spPr>
                </pic:pic>
              </a:graphicData>
            </a:graphic>
          </wp:inline>
        </w:drawing>
      </w:r>
    </w:p>
    <w:p>
      <w:pPr>
        <w:pStyle w:val="2"/>
        <w:rPr>
          <w:rFonts w:hint="eastAsia" w:ascii="仿宋" w:hAnsi="仿宋" w:eastAsia="仿宋" w:cs="仿宋"/>
          <w:sz w:val="28"/>
          <w:szCs w:val="28"/>
          <w:lang w:eastAsia="zh-CN"/>
        </w:rPr>
      </w:pPr>
      <w:bookmarkStart w:id="0" w:name="_GoBack"/>
      <w:bookmarkEnd w:id="0"/>
    </w:p>
    <w:sectPr>
      <w:pgSz w:w="11907" w:h="16840"/>
      <w:pgMar w:top="1440" w:right="1644" w:bottom="1440" w:left="1644"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5800843"/>
      <w:docPartObj>
        <w:docPartGallery w:val="autotext"/>
      </w:docPartObj>
    </w:sdtPr>
    <w:sdtContent>
      <w:sdt>
        <w:sdtPr>
          <w:id w:val="1728636285"/>
          <w:docPartObj>
            <w:docPartGallery w:val="autotext"/>
          </w:docPartObj>
        </w:sdtPr>
        <w:sdtContent>
          <w:p>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35C9C0"/>
    <w:multiLevelType w:val="singleLevel"/>
    <w:tmpl w:val="5535C9C0"/>
    <w:lvl w:ilvl="0" w:tentative="0">
      <w:start w:val="3"/>
      <w:numFmt w:val="chineseCounting"/>
      <w:suff w:val="nothing"/>
      <w:lvlText w:val="%1、"/>
      <w:lvlJc w:val="left"/>
      <w:pPr>
        <w:ind w:left="0" w:firstLine="0"/>
      </w:pPr>
    </w:lvl>
  </w:abstractNum>
  <w:abstractNum w:abstractNumId="1">
    <w:nsid w:val="5536FE69"/>
    <w:multiLevelType w:val="singleLevel"/>
    <w:tmpl w:val="5536FE69"/>
    <w:lvl w:ilvl="0" w:tentative="0">
      <w:start w:val="7"/>
      <w:numFmt w:val="chineseCounting"/>
      <w:suff w:val="nothing"/>
      <w:lvlText w:val="%1、"/>
      <w:lvlJc w:val="left"/>
      <w:pPr>
        <w:ind w:left="0" w:firstLine="0"/>
      </w:pPr>
    </w:lvl>
  </w:abstractNum>
  <w:num w:numId="1">
    <w:abstractNumId w:val="0"/>
    <w:lvlOverride w:ilvl="0">
      <w:startOverride w:val="3"/>
    </w:lvlOverride>
  </w:num>
  <w:num w:numId="2">
    <w:abstractNumId w:val="1"/>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96B"/>
    <w:rsid w:val="00006BD1"/>
    <w:rsid w:val="000425F5"/>
    <w:rsid w:val="00062A1B"/>
    <w:rsid w:val="00082DBE"/>
    <w:rsid w:val="000B68A8"/>
    <w:rsid w:val="0010105C"/>
    <w:rsid w:val="001211AF"/>
    <w:rsid w:val="00152EEF"/>
    <w:rsid w:val="00153088"/>
    <w:rsid w:val="00171FEE"/>
    <w:rsid w:val="001C386E"/>
    <w:rsid w:val="001D2408"/>
    <w:rsid w:val="00280E64"/>
    <w:rsid w:val="002942F9"/>
    <w:rsid w:val="002A4636"/>
    <w:rsid w:val="002D2D9B"/>
    <w:rsid w:val="00342250"/>
    <w:rsid w:val="00375D57"/>
    <w:rsid w:val="003D6F2F"/>
    <w:rsid w:val="003E6C06"/>
    <w:rsid w:val="00424F7A"/>
    <w:rsid w:val="004A1874"/>
    <w:rsid w:val="004A3002"/>
    <w:rsid w:val="004F7017"/>
    <w:rsid w:val="005837FF"/>
    <w:rsid w:val="0059007B"/>
    <w:rsid w:val="006B2298"/>
    <w:rsid w:val="006E14A8"/>
    <w:rsid w:val="006F032C"/>
    <w:rsid w:val="006F718F"/>
    <w:rsid w:val="0079414B"/>
    <w:rsid w:val="007A2128"/>
    <w:rsid w:val="008141F8"/>
    <w:rsid w:val="008B1397"/>
    <w:rsid w:val="0093456A"/>
    <w:rsid w:val="009569A9"/>
    <w:rsid w:val="0096544A"/>
    <w:rsid w:val="009906B0"/>
    <w:rsid w:val="009C625D"/>
    <w:rsid w:val="00A10048"/>
    <w:rsid w:val="00A42F8D"/>
    <w:rsid w:val="00A53513"/>
    <w:rsid w:val="00AA11F7"/>
    <w:rsid w:val="00AC3402"/>
    <w:rsid w:val="00AE41AC"/>
    <w:rsid w:val="00B36194"/>
    <w:rsid w:val="00BB596B"/>
    <w:rsid w:val="00C226FC"/>
    <w:rsid w:val="00C558AA"/>
    <w:rsid w:val="00C80986"/>
    <w:rsid w:val="00CA01B5"/>
    <w:rsid w:val="00CA2CD5"/>
    <w:rsid w:val="00CA3E67"/>
    <w:rsid w:val="00CC76F1"/>
    <w:rsid w:val="00D51FC6"/>
    <w:rsid w:val="00D91E1A"/>
    <w:rsid w:val="00DA7E99"/>
    <w:rsid w:val="00DB21FE"/>
    <w:rsid w:val="00DE01B0"/>
    <w:rsid w:val="00E4435D"/>
    <w:rsid w:val="00EA3D2A"/>
    <w:rsid w:val="00F62ED4"/>
    <w:rsid w:val="00FB2AB8"/>
    <w:rsid w:val="09BD6504"/>
    <w:rsid w:val="23214A14"/>
    <w:rsid w:val="23C2021D"/>
    <w:rsid w:val="2A883A56"/>
    <w:rsid w:val="2C7966A4"/>
    <w:rsid w:val="33F47A2B"/>
    <w:rsid w:val="34D16440"/>
    <w:rsid w:val="38066D52"/>
    <w:rsid w:val="57202BC5"/>
    <w:rsid w:val="6D37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4"/>
    <w:unhideWhenUsed/>
    <w:qFormat/>
    <w:uiPriority w:val="99"/>
    <w:pPr>
      <w:ind w:firstLine="420" w:firstLineChars="100"/>
    </w:pPr>
  </w:style>
  <w:style w:type="paragraph" w:styleId="3">
    <w:name w:val="Body Text"/>
    <w:basedOn w:val="1"/>
    <w:link w:val="13"/>
    <w:semiHidden/>
    <w:unhideWhenUsed/>
    <w:qFormat/>
    <w:uiPriority w:val="99"/>
    <w:pPr>
      <w:spacing w:after="120"/>
    </w:pPr>
  </w:style>
  <w:style w:type="paragraph" w:styleId="4">
    <w:name w:val="Body Text Indent"/>
    <w:basedOn w:val="1"/>
    <w:link w:val="15"/>
    <w:semiHidden/>
    <w:unhideWhenUsed/>
    <w:qFormat/>
    <w:uiPriority w:val="99"/>
    <w:pPr>
      <w:spacing w:after="120"/>
      <w:ind w:left="420" w:leftChars="200"/>
    </w:p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4"/>
    <w:link w:val="16"/>
    <w:semiHidden/>
    <w:unhideWhenUsed/>
    <w:qFormat/>
    <w:uiPriority w:val="99"/>
    <w:pPr>
      <w:ind w:firstLine="420" w:firstLineChars="200"/>
    </w:pPr>
    <w:rPr>
      <w:rFonts w:ascii="Calibri" w:hAnsi="Calibri"/>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qFormat/>
    <w:uiPriority w:val="99"/>
    <w:rPr>
      <w:sz w:val="18"/>
      <w:szCs w:val="18"/>
    </w:rPr>
  </w:style>
  <w:style w:type="character" w:customStyle="1" w:styleId="12">
    <w:name w:val="页脚 字符"/>
    <w:basedOn w:val="10"/>
    <w:link w:val="5"/>
    <w:qFormat/>
    <w:uiPriority w:val="99"/>
    <w:rPr>
      <w:sz w:val="18"/>
      <w:szCs w:val="18"/>
    </w:rPr>
  </w:style>
  <w:style w:type="character" w:customStyle="1" w:styleId="13">
    <w:name w:val="正文文本 字符"/>
    <w:basedOn w:val="10"/>
    <w:link w:val="3"/>
    <w:semiHidden/>
    <w:qFormat/>
    <w:uiPriority w:val="99"/>
    <w:rPr>
      <w:rFonts w:ascii="Times New Roman" w:hAnsi="Times New Roman" w:eastAsia="宋体" w:cs="Times New Roman"/>
    </w:rPr>
  </w:style>
  <w:style w:type="character" w:customStyle="1" w:styleId="14">
    <w:name w:val="正文文本首行缩进 字符"/>
    <w:basedOn w:val="13"/>
    <w:link w:val="2"/>
    <w:qFormat/>
    <w:uiPriority w:val="99"/>
    <w:rPr>
      <w:rFonts w:ascii="Times New Roman" w:hAnsi="Times New Roman" w:eastAsia="宋体" w:cs="Times New Roman"/>
    </w:rPr>
  </w:style>
  <w:style w:type="character" w:customStyle="1" w:styleId="15">
    <w:name w:val="正文文本缩进 字符"/>
    <w:basedOn w:val="10"/>
    <w:link w:val="4"/>
    <w:semiHidden/>
    <w:qFormat/>
    <w:uiPriority w:val="99"/>
    <w:rPr>
      <w:rFonts w:ascii="Times New Roman" w:hAnsi="Times New Roman" w:eastAsia="宋体" w:cs="Times New Roman"/>
    </w:rPr>
  </w:style>
  <w:style w:type="character" w:customStyle="1" w:styleId="16">
    <w:name w:val="正文文本首行缩进 2 字符"/>
    <w:basedOn w:val="15"/>
    <w:link w:val="7"/>
    <w:semiHidden/>
    <w:qFormat/>
    <w:uiPriority w:val="99"/>
    <w:rPr>
      <w:rFonts w:ascii="Calibri" w:hAnsi="Calibri" w:eastAsia="宋体" w:cs="Times New Roman"/>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customXml" Target="../customXml/item1.xml"/>
  <Relationship Id="rId17" Type="http://schemas.openxmlformats.org/officeDocument/2006/relationships/numbering" Target="numbering.xml"/>
  <Relationship Id="rId18"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footer" Target="footer1.xml"/>
  <Relationship Id="rId4" Type="http://schemas.openxmlformats.org/officeDocument/2006/relationships/theme" Target="theme/theme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989</Words>
  <Characters>5641</Characters>
  <Lines>47</Lines>
  <Paragraphs>13</Paragraphs>
  <TotalTime>8</TotalTime>
  <ScaleCrop>false</ScaleCrop>
  <LinksUpToDate>false</LinksUpToDate>
  <CharactersWithSpaces>6617</CharactersWithSpaces>
  <Application>WPS Office_11.1.0.11365_F1E327BC-269C-435d-A152-05C5408002CA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2022-01-07T06:23:00Z</dcterms:created>
  <dc:creator>li li</dc:creator>
  <lastModifiedBy>Administrator</lastModifiedBy>
  <dcterms:modified xsi:type="dcterms:W3CDTF">2022-03-25T03:54:53Z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0634D926EDFC44A8BCC7DC34B5056A72</vt:lpwstr>
  </property>
</Properties>
</file>