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right"/>
        <w:textAlignment w:val="auto"/>
        <w:outlineLvl w:val="9"/>
        <w:rPr>
          <w:rFonts w:hint="eastAsia" w:ascii="宋体" w:hAnsi="宋体" w:cs="宋体"/>
          <w:sz w:val="24"/>
        </w:rPr>
      </w:pPr>
      <w:r>
        <w:rPr>
          <w:rFonts w:hint="eastAsia" w:ascii="宋体" w:hAnsi="宋体"/>
          <w:b/>
          <w:bCs w:val="0"/>
          <w:sz w:val="32"/>
          <w:szCs w:val="32"/>
        </w:rPr>
        <w:t xml:space="preserve"> </w:t>
      </w:r>
      <w:r>
        <w:rPr>
          <w:rFonts w:hint="eastAsia" w:ascii="宋体" w:hAnsi="宋体" w:cs="宋体"/>
          <w:sz w:val="24"/>
          <w:lang w:val="en-US" w:eastAsia="zh-Hans"/>
        </w:rPr>
        <w:t>合同编号：（豫财招标采购</w:t>
      </w:r>
      <w:r>
        <w:rPr>
          <w:rFonts w:hint="default" w:ascii="宋体" w:hAnsi="宋体" w:cs="宋体"/>
          <w:sz w:val="24"/>
          <w:lang w:eastAsia="zh-Hans"/>
        </w:rPr>
        <w:t>-2020-1435</w:t>
      </w:r>
      <w:r>
        <w:rPr>
          <w:rFonts w:hint="eastAsia" w:ascii="宋体" w:hAnsi="宋体" w:cs="宋体"/>
          <w:sz w:val="24"/>
          <w:lang w:val="en-US" w:eastAsia="zh-Hans"/>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b/>
          <w:bCs w:val="0"/>
          <w:sz w:val="32"/>
          <w:szCs w:val="32"/>
        </w:rPr>
      </w:pPr>
      <w:r>
        <w:rPr>
          <w:rFonts w:hint="eastAsia" w:ascii="宋体" w:hAnsi="宋体"/>
          <w:b/>
          <w:bCs w:val="0"/>
          <w:sz w:val="32"/>
          <w:szCs w:val="32"/>
        </w:rPr>
        <w:t xml:space="preserve"> </w:t>
      </w:r>
      <w:r>
        <w:rPr>
          <w:rFonts w:hint="eastAsia" w:ascii="宋体" w:hAnsi="宋体" w:cs="宋体"/>
          <w:b/>
          <w:bCs w:val="0"/>
          <w:sz w:val="32"/>
          <w:szCs w:val="32"/>
        </w:rPr>
        <w:t>郑州大学政府采购货物合同</w:t>
      </w:r>
    </w:p>
    <w:p>
      <w:pPr>
        <w:ind w:firstLine="4591" w:firstLineChars="1911"/>
        <w:rPr>
          <w:rFonts w:ascii="宋体"/>
          <w:b/>
          <w:bCs/>
          <w:sz w:val="24"/>
        </w:rPr>
      </w:pPr>
    </w:p>
    <w:p>
      <w:pPr>
        <w:adjustRightInd w:val="0"/>
        <w:snapToGrid w:val="0"/>
        <w:spacing w:line="480" w:lineRule="auto"/>
        <w:jc w:val="left"/>
        <w:rPr>
          <w:rFonts w:hint="default" w:ascii="宋体" w:eastAsia="宋体"/>
          <w:b/>
          <w:bCs/>
          <w:sz w:val="28"/>
          <w:szCs w:val="28"/>
          <w:lang w:val="en-US" w:eastAsia="zh-CN"/>
        </w:rPr>
      </w:pPr>
      <w:r>
        <w:rPr>
          <w:rFonts w:hint="eastAsia" w:ascii="宋体" w:hAnsi="宋体" w:cs="宋体"/>
          <w:b/>
          <w:bCs/>
          <w:sz w:val="28"/>
          <w:szCs w:val="28"/>
        </w:rPr>
        <w:t>甲方：</w:t>
      </w:r>
      <w:r>
        <w:rPr>
          <w:rFonts w:hint="eastAsia" w:ascii="宋体" w:hAnsi="宋体" w:cs="宋体"/>
          <w:b/>
          <w:bCs/>
          <w:sz w:val="28"/>
          <w:szCs w:val="28"/>
          <w:u w:val="single"/>
          <w:lang w:val="en-US" w:eastAsia="zh-CN"/>
        </w:rPr>
        <w:t xml:space="preserve">郑州大学            </w:t>
      </w:r>
    </w:p>
    <w:p>
      <w:pPr>
        <w:adjustRightInd w:val="0"/>
        <w:snapToGrid w:val="0"/>
        <w:spacing w:line="480" w:lineRule="auto"/>
        <w:rPr>
          <w:rFonts w:ascii="宋体"/>
          <w:b/>
          <w:bCs/>
          <w:sz w:val="28"/>
          <w:szCs w:val="28"/>
        </w:rPr>
      </w:pPr>
      <w:r>
        <w:rPr>
          <w:rFonts w:hint="eastAsia" w:ascii="宋体" w:hAnsi="宋体" w:cs="宋体"/>
          <w:b/>
          <w:bCs/>
          <w:sz w:val="28"/>
          <w:szCs w:val="28"/>
        </w:rPr>
        <w:t>乙方：</w:t>
      </w:r>
      <w:r>
        <w:rPr>
          <w:rFonts w:hint="eastAsia" w:ascii="宋体" w:hAnsi="宋体" w:cs="宋体"/>
          <w:b/>
          <w:bCs/>
          <w:sz w:val="28"/>
          <w:szCs w:val="28"/>
          <w:u w:val="single"/>
          <w:lang w:val="en-US" w:eastAsia="zh-CN"/>
        </w:rPr>
        <w:t>河南锋恩电气有限公司</w:t>
      </w:r>
    </w:p>
    <w:p>
      <w:pPr>
        <w:adjustRightInd w:val="0"/>
        <w:snapToGrid w:val="0"/>
        <w:spacing w:line="480" w:lineRule="auto"/>
        <w:rPr>
          <w:rFonts w:ascii="宋体"/>
          <w:sz w:val="24"/>
        </w:rPr>
      </w:pPr>
      <w:r>
        <w:rPr>
          <w:rFonts w:ascii="宋体" w:hAnsi="宋体" w:cs="宋体"/>
          <w:b/>
          <w:bCs/>
          <w:sz w:val="24"/>
        </w:rPr>
        <w:t xml:space="preserve">    </w:t>
      </w:r>
      <w:r>
        <w:rPr>
          <w:rFonts w:hint="eastAsia" w:ascii="宋体" w:hAnsi="宋体" w:cs="宋体"/>
          <w:sz w:val="24"/>
        </w:rPr>
        <w:t>在甲方为获得</w:t>
      </w:r>
      <w:r>
        <w:rPr>
          <w:rFonts w:hint="eastAsia" w:ascii="宋体" w:hAnsi="宋体" w:cs="宋体"/>
          <w:sz w:val="24"/>
          <w:u w:val="single"/>
        </w:rPr>
        <w:t>（</w:t>
      </w:r>
      <w:r>
        <w:rPr>
          <w:rFonts w:hint="eastAsia" w:ascii="宋体" w:hAnsi="宋体" w:cs="宋体"/>
          <w:sz w:val="24"/>
          <w:u w:val="single"/>
          <w:lang w:val="en-US" w:eastAsia="zh-CN"/>
        </w:rPr>
        <w:t>郑州大学软件学院分布式能源安全实验室采购项目</w:t>
      </w:r>
      <w:r>
        <w:rPr>
          <w:rFonts w:hint="eastAsia" w:ascii="宋体" w:hAnsi="宋体" w:cs="宋体"/>
          <w:sz w:val="24"/>
          <w:u w:val="single"/>
        </w:rPr>
        <w:t>）</w:t>
      </w:r>
      <w:r>
        <w:rPr>
          <w:rFonts w:hint="eastAsia" w:ascii="宋体" w:hAnsi="宋体" w:cs="宋体"/>
          <w:sz w:val="24"/>
        </w:rPr>
        <w:t>货物和伴随服务实施公开招标，乙方参加了公开招标。通过公开招标，甲方接受了乙方以总金额</w:t>
      </w:r>
      <w:r>
        <w:rPr>
          <w:rFonts w:hint="eastAsia" w:ascii="宋体" w:hAnsi="宋体" w:cs="宋体"/>
          <w:sz w:val="24"/>
          <w:u w:val="single"/>
        </w:rPr>
        <w:t>（</w:t>
      </w:r>
      <w:r>
        <w:rPr>
          <w:rFonts w:hint="eastAsia" w:ascii="宋体" w:hAnsi="宋体" w:cs="宋体"/>
          <w:sz w:val="24"/>
          <w:u w:val="single"/>
          <w:lang w:val="en-US" w:eastAsia="zh-CN"/>
        </w:rPr>
        <w:t>人民币：壹佰捌拾捌万陆仟玖佰元整，小写：1886900元</w:t>
      </w:r>
      <w:r>
        <w:rPr>
          <w:rFonts w:hint="eastAsia" w:ascii="宋体" w:hAnsi="宋体" w:cs="宋体"/>
          <w:sz w:val="24"/>
          <w:u w:val="single"/>
        </w:rPr>
        <w:t>）</w:t>
      </w:r>
      <w:r>
        <w:rPr>
          <w:rFonts w:hint="eastAsia" w:ascii="宋体" w:hAnsi="宋体" w:cs="宋体"/>
          <w:sz w:val="24"/>
        </w:rPr>
        <w:t>（以下简称“合同价”）的投标。双方以上述事实为基础，签订本合同。</w:t>
      </w:r>
    </w:p>
    <w:p>
      <w:pPr>
        <w:adjustRightInd w:val="0"/>
        <w:snapToGrid w:val="0"/>
        <w:spacing w:line="480" w:lineRule="auto"/>
        <w:ind w:firstLine="561" w:firstLineChars="200"/>
        <w:rPr>
          <w:rFonts w:ascii="宋体"/>
          <w:b/>
          <w:bCs/>
          <w:sz w:val="28"/>
          <w:szCs w:val="28"/>
        </w:rPr>
      </w:pPr>
      <w:r>
        <w:rPr>
          <w:rFonts w:hint="eastAsia" w:ascii="宋体" w:hAnsi="宋体" w:cs="宋体"/>
          <w:b/>
          <w:bCs/>
          <w:sz w:val="28"/>
          <w:szCs w:val="28"/>
        </w:rPr>
        <w:t>一、供货范围及分项价格表（详见附件</w:t>
      </w:r>
      <w:r>
        <w:rPr>
          <w:rFonts w:ascii="宋体" w:hAnsi="宋体" w:cs="宋体"/>
          <w:b/>
          <w:bCs/>
          <w:sz w:val="28"/>
          <w:szCs w:val="28"/>
        </w:rPr>
        <w:t>1</w:t>
      </w:r>
      <w:r>
        <w:rPr>
          <w:rFonts w:hint="eastAsia" w:ascii="宋体" w:hAnsi="宋体" w:cs="宋体"/>
          <w:b/>
          <w:bCs/>
          <w:sz w:val="28"/>
          <w:szCs w:val="28"/>
        </w:rPr>
        <w:t>、附件</w:t>
      </w:r>
      <w:r>
        <w:rPr>
          <w:rFonts w:ascii="宋体" w:hAnsi="宋体" w:cs="宋体"/>
          <w:b/>
          <w:bCs/>
          <w:sz w:val="28"/>
          <w:szCs w:val="28"/>
        </w:rPr>
        <w:t>2</w:t>
      </w:r>
      <w:r>
        <w:rPr>
          <w:rFonts w:hint="eastAsia" w:ascii="宋体" w:hAnsi="宋体" w:cs="宋体"/>
          <w:b/>
          <w:bCs/>
          <w:sz w:val="28"/>
          <w:szCs w:val="28"/>
        </w:rPr>
        <w:t>）</w:t>
      </w:r>
    </w:p>
    <w:p>
      <w:pPr>
        <w:adjustRightInd w:val="0"/>
        <w:snapToGrid w:val="0"/>
        <w:spacing w:line="480" w:lineRule="auto"/>
        <w:ind w:firstLine="570"/>
        <w:rPr>
          <w:rFonts w:ascii="宋体"/>
          <w:sz w:val="24"/>
        </w:rPr>
      </w:pPr>
      <w:r>
        <w:rPr>
          <w:rFonts w:ascii="宋体" w:hAnsi="宋体" w:cs="宋体"/>
          <w:sz w:val="24"/>
        </w:rPr>
        <w:t>1</w:t>
      </w:r>
      <w:r>
        <w:rPr>
          <w:rFonts w:hint="eastAsia" w:ascii="宋体" w:hAnsi="宋体" w:cs="宋体"/>
          <w:sz w:val="24"/>
        </w:rPr>
        <w:t>、本合同所指设备详见附件</w:t>
      </w:r>
      <w:r>
        <w:rPr>
          <w:rFonts w:ascii="宋体" w:hAnsi="宋体" w:cs="宋体"/>
          <w:sz w:val="24"/>
        </w:rPr>
        <w:t>1</w:t>
      </w:r>
      <w:r>
        <w:rPr>
          <w:rFonts w:hint="eastAsia" w:ascii="宋体" w:hAnsi="宋体" w:cs="宋体"/>
          <w:sz w:val="24"/>
        </w:rPr>
        <w:t>、附件</w:t>
      </w:r>
      <w:r>
        <w:rPr>
          <w:rFonts w:ascii="宋体" w:hAnsi="宋体" w:cs="宋体"/>
          <w:sz w:val="24"/>
        </w:rPr>
        <w:t xml:space="preserve">2 </w:t>
      </w:r>
      <w:r>
        <w:rPr>
          <w:rFonts w:hint="eastAsia" w:ascii="宋体" w:hAnsi="宋体" w:cs="宋体"/>
          <w:sz w:val="24"/>
        </w:rPr>
        <w:t>，此附件是本合同不可分割的部分。</w:t>
      </w:r>
    </w:p>
    <w:p>
      <w:pPr>
        <w:adjustRightInd w:val="0"/>
        <w:snapToGrid w:val="0"/>
        <w:spacing w:line="480" w:lineRule="auto"/>
        <w:rPr>
          <w:sz w:val="24"/>
        </w:rPr>
      </w:pPr>
      <w:r>
        <w:rPr>
          <w:rFonts w:ascii="宋体" w:hAnsi="宋体" w:cs="宋体"/>
          <w:sz w:val="24"/>
        </w:rPr>
        <w:t xml:space="preserve">     2</w:t>
      </w:r>
      <w:r>
        <w:rPr>
          <w:rFonts w:hint="eastAsia" w:ascii="宋体" w:hAnsi="宋体" w:cs="宋体"/>
          <w:sz w:val="24"/>
        </w:rPr>
        <w:t>、总价中包括设备金额、包装、运输、保险费、装卸费、安装及相关材料费、调试费、软件费、检验费及培训所需费用及税金，甲方不再另行支付任何费用。</w:t>
      </w:r>
    </w:p>
    <w:p>
      <w:pPr>
        <w:adjustRightInd w:val="0"/>
        <w:snapToGrid w:val="0"/>
        <w:spacing w:line="480" w:lineRule="auto"/>
        <w:ind w:firstLine="561" w:firstLineChars="200"/>
        <w:rPr>
          <w:rFonts w:hint="eastAsia" w:ascii="宋体" w:hAnsi="宋体" w:eastAsia="宋体" w:cs="宋体"/>
          <w:b/>
          <w:bCs/>
          <w:sz w:val="28"/>
          <w:szCs w:val="28"/>
        </w:rPr>
      </w:pPr>
      <w:r>
        <w:rPr>
          <w:rFonts w:hint="eastAsia" w:ascii="宋体" w:hAnsi="宋体" w:eastAsia="宋体" w:cs="宋体"/>
          <w:b/>
          <w:bCs/>
          <w:sz w:val="28"/>
          <w:szCs w:val="28"/>
        </w:rPr>
        <w:t>二、质量及技术规格要求</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570" w:firstLineChars="0"/>
        <w:jc w:val="both"/>
        <w:textAlignment w:val="auto"/>
        <w:outlineLvl w:val="9"/>
        <w:rPr>
          <w:rFonts w:ascii="宋体"/>
          <w:sz w:val="24"/>
        </w:rPr>
      </w:pPr>
      <w:r>
        <w:rPr>
          <w:rFonts w:hint="eastAsia" w:ascii="宋体" w:hAnsi="宋体" w:cs="宋体"/>
          <w:sz w:val="24"/>
        </w:rPr>
        <w:t>乙方须按合同要求提供全新设备（包括零部件、附件、备品备件），设备的质量标准、规格型号、具体配置、数量须符合招标标书要求，其产品为原厂生产，且应达到乙方投标文件及澄清文件中明确的技术标准。</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570" w:firstLineChars="0"/>
        <w:jc w:val="both"/>
        <w:textAlignment w:val="auto"/>
        <w:outlineLvl w:val="9"/>
        <w:rPr>
          <w:rFonts w:ascii="宋体"/>
          <w:sz w:val="24"/>
        </w:rPr>
      </w:pPr>
      <w:r>
        <w:rPr>
          <w:rFonts w:hint="eastAsia" w:ascii="宋体" w:hAnsi="宋体" w:cs="宋体"/>
          <w:sz w:val="24"/>
        </w:rPr>
        <w:t>乙方应在本合同生效后</w:t>
      </w:r>
      <w:r>
        <w:rPr>
          <w:rFonts w:ascii="宋体" w:hAnsi="宋体" w:cs="宋体"/>
          <w:sz w:val="24"/>
          <w:u w:val="single"/>
        </w:rPr>
        <w:t xml:space="preserve"> </w:t>
      </w:r>
      <w:r>
        <w:rPr>
          <w:rFonts w:hint="eastAsia" w:ascii="宋体" w:hAnsi="宋体" w:cs="宋体"/>
          <w:sz w:val="24"/>
          <w:u w:val="single"/>
          <w:lang w:val="en-US" w:eastAsia="zh-CN"/>
        </w:rPr>
        <w:t>7</w:t>
      </w:r>
      <w:r>
        <w:rPr>
          <w:rFonts w:ascii="宋体" w:hAnsi="宋体" w:cs="宋体"/>
          <w:sz w:val="24"/>
          <w:u w:val="single"/>
        </w:rPr>
        <w:t xml:space="preserve">  </w:t>
      </w:r>
      <w:r>
        <w:rPr>
          <w:rFonts w:hint="eastAsia" w:ascii="宋体" w:hAnsi="宋体" w:cs="宋体"/>
          <w:sz w:val="24"/>
        </w:rPr>
        <w:t>个工作日内向甲方提供安装计划及质量控制规范；并于</w:t>
      </w:r>
      <w:r>
        <w:rPr>
          <w:rFonts w:ascii="宋体" w:hAnsi="宋体" w:cs="宋体"/>
          <w:sz w:val="24"/>
          <w:u w:val="single"/>
        </w:rPr>
        <w:t xml:space="preserve"> </w:t>
      </w:r>
      <w:r>
        <w:rPr>
          <w:rFonts w:hint="eastAsia" w:ascii="宋体" w:hAnsi="宋体" w:cs="宋体"/>
          <w:sz w:val="24"/>
          <w:u w:val="single"/>
          <w:lang w:val="en-US" w:eastAsia="zh-CN"/>
        </w:rPr>
        <w:t>3</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ascii="宋体" w:hAnsi="宋体" w:cs="宋体"/>
          <w:sz w:val="24"/>
          <w:u w:val="single"/>
        </w:rPr>
        <w:t>2</w:t>
      </w:r>
      <w:r>
        <w:rPr>
          <w:rFonts w:hint="eastAsia" w:ascii="宋体" w:hAnsi="宋体" w:cs="宋体"/>
          <w:sz w:val="24"/>
          <w:u w:val="single"/>
          <w:lang w:val="en-US" w:eastAsia="zh-CN"/>
        </w:rPr>
        <w:t>0</w:t>
      </w:r>
      <w:r>
        <w:rPr>
          <w:rFonts w:ascii="宋体" w:hAnsi="宋体" w:cs="宋体"/>
          <w:sz w:val="24"/>
          <w:u w:val="single"/>
        </w:rPr>
        <w:t xml:space="preserve"> </w:t>
      </w:r>
      <w:r>
        <w:rPr>
          <w:rFonts w:hint="eastAsia" w:ascii="宋体" w:hAnsi="宋体" w:cs="宋体"/>
          <w:sz w:val="24"/>
        </w:rPr>
        <w:t>日前进驻安装现场；所有设备运送到甲方指定地点后，双方在</w:t>
      </w:r>
      <w:r>
        <w:rPr>
          <w:rFonts w:ascii="宋体" w:hAnsi="宋体" w:cs="宋体"/>
          <w:sz w:val="24"/>
          <w:u w:val="single"/>
        </w:rPr>
        <w:t xml:space="preserve"> </w:t>
      </w:r>
      <w:r>
        <w:rPr>
          <w:rFonts w:ascii="宋体" w:hAnsi="宋体" w:cs="宋体"/>
          <w:sz w:val="24"/>
          <w:u w:val="single"/>
        </w:rPr>
        <w:t xml:space="preserve">     </w:t>
      </w:r>
      <w:r>
        <w:rPr>
          <w:rFonts w:hint="default" w:ascii="宋体" w:hAnsi="宋体" w:cs="宋体"/>
          <w:sz w:val="24"/>
          <w:u w:val="single"/>
          <w:lang w:eastAsia="zh-CN"/>
        </w:rPr>
        <w:t xml:space="preserve">   7 </w:t>
      </w:r>
      <w:r>
        <w:rPr>
          <w:rFonts w:hint="eastAsia" w:ascii="宋体" w:hAnsi="宋体" w:cs="宋体"/>
          <w:sz w:val="24"/>
        </w:rPr>
        <w:t>日内共同验收并签署验收意见。甲方无正当理由，不得拒绝接收；在安装调试过程中，甲方有权采取适当的方式对乙方产品的质量标准、规格型号、具体配置、数量以及安装质量和进度等进行检查。甲方如果发现乙方所供设备不符合合同约定，甲方有权单方解除合同，由此产生的一切费用乙方承担。</w:t>
      </w:r>
    </w:p>
    <w:p>
      <w:pPr>
        <w:adjustRightInd w:val="0"/>
        <w:snapToGrid w:val="0"/>
        <w:spacing w:line="480" w:lineRule="auto"/>
        <w:ind w:firstLine="561"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cs="宋体"/>
          <w:b/>
          <w:bCs/>
          <w:sz w:val="28"/>
          <w:szCs w:val="28"/>
        </w:rPr>
        <w:t>、</w:t>
      </w:r>
      <w:r>
        <w:rPr>
          <w:rFonts w:hint="eastAsia" w:ascii="宋体" w:hAnsi="宋体" w:eastAsia="宋体" w:cs="宋体"/>
          <w:b/>
          <w:bCs/>
          <w:sz w:val="28"/>
          <w:szCs w:val="28"/>
        </w:rPr>
        <w:t>包装与运输</w:t>
      </w:r>
    </w:p>
    <w:p>
      <w:pPr>
        <w:adjustRightInd w:val="0"/>
        <w:snapToGrid w:val="0"/>
        <w:spacing w:line="480" w:lineRule="auto"/>
        <w:ind w:firstLine="570"/>
        <w:rPr>
          <w:rFonts w:ascii="宋体"/>
          <w:sz w:val="24"/>
        </w:rPr>
      </w:pPr>
      <w:r>
        <w:rPr>
          <w:rFonts w:hint="eastAsia" w:ascii="宋体" w:hAnsi="宋体" w:cs="宋体"/>
          <w:sz w:val="24"/>
        </w:rPr>
        <w:t>设备交付使用前发生的所有与设备相关的运输、安装及安全保障事项等均由乙方负责；设备包装应符合抗震、防潮、防冻、防锈以及长途运输等要求，由于包装不当或防护措施不力而导致的商品损坏、损失、腐蚀等损失均由乙方承担；设备交付使用前所发生的所有与设备相关的经济纠纷及法律责任均与甲方无关。</w:t>
      </w:r>
    </w:p>
    <w:p>
      <w:pPr>
        <w:adjustRightInd w:val="0"/>
        <w:snapToGrid w:val="0"/>
        <w:spacing w:line="480" w:lineRule="auto"/>
        <w:ind w:firstLine="561" w:firstLineChars="200"/>
        <w:rPr>
          <w:rFonts w:hint="default" w:ascii="宋体" w:eastAsia="宋体"/>
          <w:b/>
          <w:bCs/>
          <w:sz w:val="28"/>
          <w:szCs w:val="28"/>
          <w:lang w:val="en-US" w:eastAsia="zh-CN"/>
        </w:rPr>
      </w:pPr>
      <w:r>
        <w:rPr>
          <w:rFonts w:hint="eastAsia" w:ascii="宋体" w:hAnsi="宋体" w:cs="宋体"/>
          <w:b/>
          <w:bCs/>
          <w:sz w:val="28"/>
          <w:szCs w:val="28"/>
        </w:rPr>
        <w:t>四、质保期与售后服务</w:t>
      </w:r>
      <w:r>
        <w:rPr>
          <w:rFonts w:hint="eastAsia" w:ascii="宋体" w:hAnsi="宋体" w:cs="宋体"/>
          <w:b/>
          <w:bCs/>
          <w:sz w:val="28"/>
          <w:szCs w:val="28"/>
          <w:lang w:eastAsia="zh-CN"/>
        </w:rPr>
        <w:t>（</w:t>
      </w:r>
      <w:r>
        <w:rPr>
          <w:rFonts w:hint="eastAsia" w:ascii="宋体" w:hAnsi="宋体" w:cs="宋体"/>
          <w:b/>
          <w:bCs/>
          <w:sz w:val="28"/>
          <w:szCs w:val="28"/>
          <w:lang w:val="en-US" w:eastAsia="zh-CN"/>
        </w:rPr>
        <w:t>详见附件3）</w:t>
      </w:r>
    </w:p>
    <w:p>
      <w:pPr>
        <w:adjustRightInd w:val="0"/>
        <w:snapToGrid w:val="0"/>
        <w:spacing w:line="480" w:lineRule="auto"/>
        <w:ind w:firstLine="480"/>
        <w:rPr>
          <w:rFonts w:ascii="宋体"/>
          <w:sz w:val="24"/>
        </w:rPr>
      </w:pPr>
      <w:r>
        <w:rPr>
          <w:rFonts w:ascii="宋体" w:hAnsi="宋体" w:cs="宋体"/>
          <w:sz w:val="24"/>
        </w:rPr>
        <w:t>1</w:t>
      </w:r>
      <w:r>
        <w:rPr>
          <w:rFonts w:hint="eastAsia" w:ascii="宋体" w:hAnsi="宋体" w:cs="宋体"/>
          <w:sz w:val="24"/>
        </w:rPr>
        <w:t>、所有设备免费质保期为</w:t>
      </w:r>
      <w:r>
        <w:rPr>
          <w:rFonts w:hint="eastAsia" w:ascii="宋体" w:hAnsi="宋体" w:cs="宋体"/>
          <w:sz w:val="24"/>
          <w:u w:val="single"/>
          <w:lang w:val="en-US" w:eastAsia="zh-CN"/>
        </w:rPr>
        <w:t xml:space="preserve"> 3 </w:t>
      </w:r>
      <w:r>
        <w:rPr>
          <w:rFonts w:hint="eastAsia" w:ascii="宋体" w:hAnsi="宋体" w:cs="宋体"/>
          <w:sz w:val="24"/>
        </w:rPr>
        <w:t>年，自验收合格并交付给甲方之日起计算，且</w:t>
      </w:r>
      <w:r>
        <w:rPr>
          <w:rFonts w:ascii="宋体" w:hAnsi="宋体" w:cs="宋体"/>
          <w:sz w:val="24"/>
        </w:rPr>
        <w:t>乙方应</w:t>
      </w:r>
      <w:r>
        <w:rPr>
          <w:rFonts w:hint="eastAsia" w:ascii="宋体" w:hAnsi="宋体" w:cs="宋体"/>
          <w:sz w:val="24"/>
        </w:rPr>
        <w:t>终身维护、维修。</w:t>
      </w:r>
    </w:p>
    <w:p>
      <w:pPr>
        <w:adjustRightInd w:val="0"/>
        <w:snapToGrid w:val="0"/>
        <w:spacing w:line="480" w:lineRule="auto"/>
        <w:ind w:firstLine="480"/>
        <w:rPr>
          <w:rFonts w:ascii="宋体"/>
          <w:sz w:val="24"/>
        </w:rPr>
      </w:pPr>
      <w:r>
        <w:rPr>
          <w:rFonts w:ascii="宋体" w:hAnsi="宋体" w:cs="宋体"/>
          <w:sz w:val="24"/>
        </w:rPr>
        <w:t>2</w:t>
      </w:r>
      <w:r>
        <w:rPr>
          <w:rFonts w:hint="eastAsia" w:ascii="宋体" w:hAnsi="宋体" w:cs="宋体"/>
          <w:sz w:val="24"/>
        </w:rPr>
        <w:t>、在质保期内，因产品质量造成的问题，乙方应免费提供配件并现场维修，且所提供的任何零配件必须是其原设备厂家生产的或经其认可的。产品存在质量问题，甲方有权要求乙方换货。</w:t>
      </w:r>
    </w:p>
    <w:p>
      <w:pPr>
        <w:adjustRightInd w:val="0"/>
        <w:snapToGrid w:val="0"/>
        <w:spacing w:line="480" w:lineRule="auto"/>
        <w:ind w:firstLine="480"/>
        <w:rPr>
          <w:rFonts w:ascii="宋体"/>
          <w:sz w:val="24"/>
        </w:rPr>
      </w:pPr>
      <w:r>
        <w:rPr>
          <w:rFonts w:ascii="宋体" w:hAnsi="宋体" w:cs="宋体"/>
          <w:sz w:val="24"/>
        </w:rPr>
        <w:t>3</w:t>
      </w:r>
      <w:r>
        <w:rPr>
          <w:rFonts w:hint="eastAsia" w:ascii="宋体" w:hAnsi="宋体" w:cs="宋体"/>
          <w:sz w:val="24"/>
        </w:rPr>
        <w:t>、乙方须提供一年</w:t>
      </w:r>
      <w:r>
        <w:rPr>
          <w:rFonts w:ascii="宋体" w:hAnsi="宋体" w:cs="宋体"/>
          <w:sz w:val="24"/>
          <w:u w:val="single"/>
        </w:rPr>
        <w:t xml:space="preserve">  </w:t>
      </w:r>
      <w:r>
        <w:rPr>
          <w:rFonts w:hint="eastAsia" w:ascii="宋体" w:hAnsi="宋体" w:cs="宋体"/>
          <w:sz w:val="24"/>
          <w:u w:val="single"/>
          <w:lang w:val="en-US" w:eastAsia="zh-CN"/>
        </w:rPr>
        <w:t>2</w:t>
      </w:r>
      <w:r>
        <w:rPr>
          <w:rFonts w:ascii="宋体" w:hAnsi="宋体" w:cs="宋体"/>
          <w:sz w:val="24"/>
          <w:u w:val="single"/>
        </w:rPr>
        <w:t xml:space="preserve">  </w:t>
      </w:r>
      <w:r>
        <w:rPr>
          <w:rFonts w:hint="eastAsia" w:ascii="宋体" w:hAnsi="宋体" w:cs="宋体"/>
          <w:sz w:val="24"/>
        </w:rPr>
        <w:t>次全免费（配件</w:t>
      </w:r>
      <w:r>
        <w:rPr>
          <w:rFonts w:ascii="宋体" w:hAnsi="宋体" w:cs="宋体"/>
          <w:sz w:val="24"/>
        </w:rPr>
        <w:t>+</w:t>
      </w:r>
      <w:r>
        <w:rPr>
          <w:rFonts w:hint="eastAsia" w:ascii="宋体" w:hAnsi="宋体" w:cs="宋体"/>
          <w:sz w:val="24"/>
        </w:rPr>
        <w:t>人力）对产品设备的维护保养。</w:t>
      </w:r>
    </w:p>
    <w:p>
      <w:pPr>
        <w:adjustRightInd w:val="0"/>
        <w:snapToGrid w:val="0"/>
        <w:spacing w:line="480" w:lineRule="auto"/>
        <w:ind w:firstLine="480"/>
        <w:rPr>
          <w:rFonts w:ascii="宋体" w:hAnsi="宋体" w:cs="宋体"/>
          <w:sz w:val="24"/>
        </w:rPr>
      </w:pPr>
      <w:r>
        <w:rPr>
          <w:rFonts w:ascii="宋体" w:hAnsi="宋体" w:cs="宋体"/>
          <w:sz w:val="24"/>
        </w:rPr>
        <w:t>4</w:t>
      </w:r>
      <w:r>
        <w:rPr>
          <w:rFonts w:hint="eastAsia" w:ascii="宋体" w:hAnsi="宋体" w:cs="宋体"/>
          <w:sz w:val="24"/>
        </w:rPr>
        <w:t>、乙方承诺凡设备出现故障，自接到甲方报修电话</w:t>
      </w:r>
      <w:r>
        <w:rPr>
          <w:rFonts w:ascii="宋体" w:hAnsi="宋体" w:cs="宋体"/>
          <w:sz w:val="24"/>
        </w:rPr>
        <w:t>1</w:t>
      </w:r>
      <w:r>
        <w:rPr>
          <w:rFonts w:hint="eastAsia" w:ascii="宋体" w:hAnsi="宋体" w:cs="宋体"/>
          <w:sz w:val="24"/>
        </w:rPr>
        <w:t>小时响应，</w:t>
      </w:r>
      <w:r>
        <w:rPr>
          <w:rFonts w:ascii="宋体" w:hAnsi="宋体" w:cs="宋体"/>
          <w:sz w:val="24"/>
        </w:rPr>
        <w:t>3</w:t>
      </w:r>
      <w:r>
        <w:rPr>
          <w:rFonts w:hint="eastAsia" w:ascii="宋体" w:hAnsi="宋体" w:cs="宋体"/>
          <w:sz w:val="24"/>
        </w:rPr>
        <w:t>小时内到达现场，</w:t>
      </w:r>
      <w:r>
        <w:rPr>
          <w:rFonts w:ascii="宋体" w:hAnsi="宋体" w:cs="宋体"/>
          <w:sz w:val="24"/>
        </w:rPr>
        <w:t>24</w:t>
      </w:r>
      <w:r>
        <w:rPr>
          <w:rFonts w:hint="eastAsia" w:ascii="宋体" w:hAnsi="宋体" w:cs="宋体"/>
          <w:sz w:val="24"/>
        </w:rPr>
        <w:t>小时内解决故障问题。保修期外只收取甲方零配件成本费，其他免费。</w:t>
      </w:r>
    </w:p>
    <w:p>
      <w:pPr>
        <w:adjustRightInd w:val="0"/>
        <w:snapToGrid w:val="0"/>
        <w:spacing w:line="480" w:lineRule="auto"/>
        <w:ind w:firstLine="480"/>
        <w:jc w:val="left"/>
        <w:rPr>
          <w:rFonts w:ascii="宋体" w:hAnsi="宋体" w:cs="宋体"/>
          <w:sz w:val="24"/>
        </w:rPr>
      </w:pPr>
      <w:r>
        <w:rPr>
          <w:rFonts w:hint="eastAsia" w:ascii="宋体" w:hAnsi="宋体" w:cs="宋体"/>
          <w:sz w:val="24"/>
        </w:rPr>
        <w:t xml:space="preserve">5、乙方有责任对甲方相关人员实施免费的现场培训或集中培训措施，保证甲方相关人员能够独立操作、熟练使用、维护和管理有关设备。                                                                                  </w:t>
      </w:r>
    </w:p>
    <w:p>
      <w:pPr>
        <w:adjustRightInd w:val="0"/>
        <w:snapToGrid w:val="0"/>
        <w:spacing w:line="480" w:lineRule="auto"/>
        <w:ind w:firstLine="480"/>
        <w:rPr>
          <w:rFonts w:ascii="宋体"/>
          <w:b/>
          <w:bCs/>
          <w:sz w:val="24"/>
        </w:rPr>
      </w:pPr>
      <w:r>
        <w:rPr>
          <w:rFonts w:ascii="宋体" w:hAnsi="宋体" w:cs="宋体"/>
          <w:sz w:val="24"/>
        </w:rPr>
        <w:t>6</w:t>
      </w:r>
      <w:r>
        <w:rPr>
          <w:rFonts w:hint="eastAsia" w:ascii="宋体" w:hAnsi="宋体" w:cs="宋体"/>
          <w:sz w:val="24"/>
        </w:rPr>
        <w:t>、其它应</w:t>
      </w:r>
      <w:r>
        <w:rPr>
          <w:rFonts w:ascii="宋体" w:hAnsi="宋体" w:cs="宋体"/>
          <w:sz w:val="24"/>
        </w:rPr>
        <w:t>规定事项</w:t>
      </w:r>
      <w:r>
        <w:rPr>
          <w:rFonts w:hint="eastAsia" w:ascii="宋体" w:hAnsi="宋体" w:cs="宋体"/>
          <w:bCs/>
          <w:sz w:val="24"/>
        </w:rPr>
        <w:t>。</w:t>
      </w:r>
    </w:p>
    <w:p>
      <w:pPr>
        <w:adjustRightInd w:val="0"/>
        <w:snapToGrid w:val="0"/>
        <w:spacing w:line="480" w:lineRule="auto"/>
        <w:ind w:firstLine="561" w:firstLineChars="200"/>
        <w:rPr>
          <w:rFonts w:ascii="宋体"/>
          <w:b/>
          <w:bCs/>
          <w:sz w:val="28"/>
          <w:szCs w:val="28"/>
        </w:rPr>
      </w:pPr>
      <w:r>
        <w:rPr>
          <w:rFonts w:hint="eastAsia" w:ascii="宋体" w:hAnsi="宋体" w:cs="宋体"/>
          <w:b/>
          <w:bCs/>
          <w:sz w:val="28"/>
          <w:szCs w:val="28"/>
        </w:rPr>
        <w:t>五、技术服务</w:t>
      </w:r>
    </w:p>
    <w:p>
      <w:pPr>
        <w:adjustRightInd w:val="0"/>
        <w:snapToGrid w:val="0"/>
        <w:spacing w:line="480" w:lineRule="auto"/>
        <w:ind w:firstLine="480"/>
        <w:rPr>
          <w:rFonts w:ascii="宋体"/>
          <w:sz w:val="24"/>
        </w:rPr>
      </w:pPr>
      <w:r>
        <w:rPr>
          <w:rFonts w:ascii="宋体" w:hAnsi="宋体" w:cs="宋体"/>
          <w:sz w:val="24"/>
        </w:rPr>
        <w:t>1</w:t>
      </w:r>
      <w:r>
        <w:rPr>
          <w:rFonts w:hint="eastAsia" w:ascii="宋体" w:hAnsi="宋体" w:cs="宋体"/>
          <w:sz w:val="24"/>
        </w:rPr>
        <w:t>、乙方向甲方免费提供标准安装调试及</w:t>
      </w:r>
      <w:r>
        <w:rPr>
          <w:rFonts w:ascii="宋体" w:hAnsi="宋体" w:cs="宋体"/>
          <w:sz w:val="24"/>
          <w:u w:val="single"/>
        </w:rPr>
        <w:t xml:space="preserve"> 10  </w:t>
      </w:r>
      <w:r>
        <w:rPr>
          <w:rFonts w:hint="eastAsia" w:ascii="宋体" w:hAnsi="宋体" w:cs="宋体"/>
          <w:sz w:val="24"/>
        </w:rPr>
        <w:t>人次国内操作培训。</w:t>
      </w:r>
    </w:p>
    <w:p>
      <w:pPr>
        <w:adjustRightInd w:val="0"/>
        <w:snapToGrid w:val="0"/>
        <w:spacing w:line="480" w:lineRule="auto"/>
        <w:ind w:firstLine="480"/>
        <w:rPr>
          <w:rFonts w:ascii="宋体"/>
          <w:sz w:val="24"/>
        </w:rPr>
      </w:pPr>
      <w:r>
        <w:rPr>
          <w:rFonts w:ascii="宋体" w:hAnsi="宋体" w:cs="宋体"/>
          <w:sz w:val="24"/>
        </w:rPr>
        <w:t>2</w:t>
      </w:r>
      <w:r>
        <w:rPr>
          <w:rFonts w:hint="eastAsia" w:ascii="宋体" w:hAnsi="宋体" w:cs="宋体"/>
          <w:sz w:val="24"/>
        </w:rPr>
        <w:t>、乙方向甲方提供设备详细技术、维修及使用资料。</w:t>
      </w:r>
    </w:p>
    <w:p>
      <w:pPr>
        <w:adjustRightInd w:val="0"/>
        <w:snapToGrid w:val="0"/>
        <w:spacing w:line="480" w:lineRule="auto"/>
        <w:ind w:firstLine="480"/>
        <w:rPr>
          <w:rFonts w:ascii="宋体"/>
          <w:sz w:val="24"/>
        </w:rPr>
      </w:pPr>
      <w:r>
        <w:rPr>
          <w:rFonts w:ascii="宋体" w:hAnsi="宋体" w:cs="宋体"/>
          <w:sz w:val="24"/>
        </w:rPr>
        <w:t>3</w:t>
      </w:r>
      <w:r>
        <w:rPr>
          <w:rFonts w:hint="eastAsia" w:ascii="宋体" w:hAnsi="宋体" w:cs="宋体"/>
          <w:sz w:val="24"/>
        </w:rPr>
        <w:t>、软件免费升级和使用。</w:t>
      </w:r>
    </w:p>
    <w:p>
      <w:pPr>
        <w:adjustRightInd w:val="0"/>
        <w:snapToGrid w:val="0"/>
        <w:spacing w:line="480" w:lineRule="auto"/>
        <w:ind w:firstLine="561" w:firstLineChars="200"/>
        <w:rPr>
          <w:rFonts w:ascii="宋体"/>
          <w:b/>
          <w:bCs/>
          <w:sz w:val="28"/>
          <w:szCs w:val="28"/>
        </w:rPr>
      </w:pPr>
      <w:r>
        <w:rPr>
          <w:rFonts w:hint="eastAsia" w:ascii="宋体" w:hAnsi="宋体" w:cs="宋体"/>
          <w:b/>
          <w:bCs/>
          <w:sz w:val="28"/>
          <w:szCs w:val="28"/>
        </w:rPr>
        <w:t>六、专利权</w:t>
      </w:r>
    </w:p>
    <w:p>
      <w:pPr>
        <w:adjustRightInd w:val="0"/>
        <w:snapToGrid w:val="0"/>
        <w:spacing w:line="480" w:lineRule="auto"/>
        <w:ind w:firstLine="480"/>
        <w:rPr>
          <w:rFonts w:ascii="宋体"/>
          <w:sz w:val="24"/>
        </w:rPr>
      </w:pPr>
      <w:r>
        <w:rPr>
          <w:rFonts w:hint="eastAsia" w:ascii="宋体" w:hAnsi="宋体" w:cs="宋体"/>
          <w:sz w:val="24"/>
        </w:rPr>
        <w:t>乙方应保证甲方在使用其所提供的产品时免受第三方提出侵犯其专利权、商标权或保护期的起诉。</w:t>
      </w:r>
    </w:p>
    <w:p>
      <w:pPr>
        <w:numPr>
          <w:ilvl w:val="0"/>
          <w:numId w:val="1"/>
        </w:numPr>
        <w:adjustRightInd w:val="0"/>
        <w:snapToGrid w:val="0"/>
        <w:spacing w:line="480" w:lineRule="auto"/>
        <w:ind w:firstLine="561" w:firstLineChars="200"/>
        <w:rPr>
          <w:rFonts w:ascii="宋体"/>
          <w:b/>
          <w:bCs/>
          <w:sz w:val="28"/>
          <w:szCs w:val="28"/>
        </w:rPr>
      </w:pPr>
      <w:r>
        <w:rPr>
          <w:rFonts w:hint="eastAsia" w:ascii="宋体" w:hAnsi="宋体" w:cs="宋体"/>
          <w:b/>
          <w:bCs/>
          <w:sz w:val="28"/>
          <w:szCs w:val="28"/>
        </w:rPr>
        <w:t>免税</w:t>
      </w:r>
    </w:p>
    <w:p>
      <w:pPr>
        <w:adjustRightInd w:val="0"/>
        <w:snapToGrid w:val="0"/>
        <w:spacing w:line="480" w:lineRule="auto"/>
        <w:rPr>
          <w:rFonts w:ascii="宋体"/>
          <w:sz w:val="24"/>
        </w:rPr>
      </w:pPr>
      <w:r>
        <w:rPr>
          <w:rFonts w:ascii="宋体" w:hAnsi="宋体" w:cs="宋体"/>
          <w:b/>
          <w:bCs/>
          <w:sz w:val="28"/>
          <w:szCs w:val="28"/>
        </w:rPr>
        <w:t xml:space="preserve">  </w:t>
      </w:r>
      <w:r>
        <w:rPr>
          <w:rFonts w:ascii="宋体" w:hAnsi="宋体" w:cs="宋体"/>
          <w:sz w:val="24"/>
        </w:rPr>
        <w:t xml:space="preserve"> 1</w:t>
      </w:r>
      <w:r>
        <w:rPr>
          <w:rFonts w:hint="eastAsia" w:ascii="宋体" w:hAnsi="宋体" w:cs="宋体"/>
          <w:sz w:val="24"/>
        </w:rPr>
        <w:t>、属于进口产品，用于教学和科研使用的，中标价为免税价格。</w:t>
      </w:r>
    </w:p>
    <w:p>
      <w:pPr>
        <w:adjustRightInd w:val="0"/>
        <w:snapToGrid w:val="0"/>
        <w:spacing w:line="480" w:lineRule="auto"/>
        <w:rPr>
          <w:rFonts w:ascii="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2</w:t>
      </w:r>
      <w:r>
        <w:rPr>
          <w:rFonts w:hint="eastAsia" w:ascii="宋体" w:hAnsi="宋体" w:cs="宋体"/>
          <w:sz w:val="24"/>
        </w:rPr>
        <w:t>、免税产品应由甲乙双方依据海关的要求签订委托进口代理协议，确认甲乙双方的责任与义务。委托进口代理协议作为本合同的不可分割部分。</w:t>
      </w:r>
    </w:p>
    <w:p>
      <w:pPr>
        <w:adjustRightInd w:val="0"/>
        <w:snapToGrid w:val="0"/>
        <w:spacing w:line="480" w:lineRule="auto"/>
        <w:rPr>
          <w:rFonts w:ascii="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3</w:t>
      </w:r>
      <w:r>
        <w:rPr>
          <w:rFonts w:hint="eastAsia" w:ascii="宋体" w:hAnsi="宋体" w:cs="宋体"/>
          <w:sz w:val="24"/>
        </w:rPr>
        <w:t>、免税产品通关时乙方必须进行商检，未商检的，造成的损失由乙方承担。</w:t>
      </w:r>
    </w:p>
    <w:p>
      <w:pPr>
        <w:adjustRightInd w:val="0"/>
        <w:snapToGrid w:val="0"/>
        <w:spacing w:line="480" w:lineRule="auto"/>
        <w:ind w:firstLine="561" w:firstLineChars="200"/>
        <w:rPr>
          <w:rFonts w:ascii="宋体"/>
          <w:b/>
          <w:bCs/>
          <w:sz w:val="28"/>
          <w:szCs w:val="28"/>
        </w:rPr>
      </w:pPr>
      <w:r>
        <w:rPr>
          <w:rFonts w:hint="eastAsia" w:ascii="宋体" w:hAnsi="宋体" w:cs="宋体"/>
          <w:b/>
          <w:bCs/>
          <w:sz w:val="28"/>
          <w:szCs w:val="28"/>
        </w:rPr>
        <w:t>八、交货时间、地点与方式</w:t>
      </w:r>
    </w:p>
    <w:p>
      <w:pPr>
        <w:adjustRightInd w:val="0"/>
        <w:snapToGrid w:val="0"/>
        <w:spacing w:line="480" w:lineRule="auto"/>
        <w:ind w:firstLine="480" w:firstLineChars="200"/>
        <w:rPr>
          <w:rFonts w:ascii="宋体"/>
          <w:sz w:val="24"/>
        </w:rPr>
      </w:pPr>
      <w:r>
        <w:rPr>
          <w:rFonts w:ascii="宋体" w:hAnsi="宋体" w:cs="宋体"/>
          <w:sz w:val="24"/>
        </w:rPr>
        <w:t>1</w:t>
      </w:r>
      <w:r>
        <w:rPr>
          <w:rFonts w:hint="eastAsia" w:ascii="宋体" w:hAnsi="宋体" w:cs="宋体"/>
          <w:sz w:val="24"/>
        </w:rPr>
        <w:t>、乙方于</w:t>
      </w:r>
      <w:r>
        <w:rPr>
          <w:rFonts w:ascii="宋体" w:hAnsi="宋体" w:cs="宋体"/>
          <w:sz w:val="24"/>
          <w:u w:val="single"/>
        </w:rPr>
        <w:t xml:space="preserve"> </w:t>
      </w:r>
      <w:r>
        <w:rPr>
          <w:rFonts w:hint="eastAsia" w:ascii="宋体" w:hAnsi="宋体" w:cs="宋体"/>
          <w:sz w:val="24"/>
          <w:u w:val="single"/>
          <w:lang w:val="en-US" w:eastAsia="zh-CN"/>
        </w:rPr>
        <w:t>2021</w:t>
      </w:r>
      <w:r>
        <w:rPr>
          <w:rFonts w:hint="eastAsia" w:ascii="宋体" w:hAnsi="宋体" w:cs="宋体"/>
          <w:bCs/>
          <w:sz w:val="24"/>
          <w:u w:val="none"/>
        </w:rPr>
        <w:t>年</w:t>
      </w:r>
      <w:r>
        <w:rPr>
          <w:rFonts w:hint="eastAsia" w:ascii="宋体" w:hAnsi="宋体" w:cs="宋体"/>
          <w:bCs/>
          <w:sz w:val="24"/>
          <w:u w:val="single"/>
        </w:rPr>
        <w:t xml:space="preserve"> </w:t>
      </w:r>
      <w:r>
        <w:rPr>
          <w:rFonts w:hint="eastAsia" w:ascii="宋体" w:hAnsi="宋体" w:cs="宋体"/>
          <w:bCs/>
          <w:sz w:val="24"/>
          <w:u w:val="single"/>
          <w:lang w:val="en-US" w:eastAsia="zh-CN"/>
        </w:rPr>
        <w:t>3</w:t>
      </w:r>
      <w:r>
        <w:rPr>
          <w:rFonts w:ascii="宋体" w:hAnsi="宋体" w:cs="宋体"/>
          <w:bCs/>
          <w:sz w:val="24"/>
          <w:u w:val="single"/>
        </w:rPr>
        <w:t xml:space="preserve"> </w:t>
      </w:r>
      <w:r>
        <w:rPr>
          <w:rFonts w:hint="eastAsia" w:ascii="宋体" w:hAnsi="宋体" w:cs="宋体"/>
          <w:bCs/>
          <w:sz w:val="24"/>
          <w:u w:val="none"/>
        </w:rPr>
        <w:t>月</w:t>
      </w:r>
      <w:r>
        <w:rPr>
          <w:rFonts w:ascii="宋体" w:hAnsi="宋体" w:cs="宋体"/>
          <w:bCs/>
          <w:sz w:val="24"/>
          <w:u w:val="single"/>
        </w:rPr>
        <w:t xml:space="preserve"> </w:t>
      </w:r>
      <w:r>
        <w:rPr>
          <w:rFonts w:hint="eastAsia" w:ascii="宋体" w:hAnsi="宋体" w:cs="宋体"/>
          <w:bCs/>
          <w:sz w:val="24"/>
          <w:u w:val="single"/>
          <w:lang w:val="en-US" w:eastAsia="zh-CN"/>
        </w:rPr>
        <w:t>2</w:t>
      </w:r>
      <w:r>
        <w:rPr>
          <w:rFonts w:hint="default" w:ascii="宋体" w:hAnsi="宋体" w:cs="宋体"/>
          <w:bCs/>
          <w:sz w:val="24"/>
          <w:u w:val="single"/>
          <w:lang w:eastAsia="zh-CN"/>
        </w:rPr>
        <w:t>5</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none"/>
        </w:rPr>
        <w:t>日</w:t>
      </w:r>
      <w:r>
        <w:rPr>
          <w:rFonts w:hint="eastAsia" w:ascii="宋体" w:hAnsi="宋体" w:cs="宋体"/>
          <w:sz w:val="24"/>
        </w:rPr>
        <w:t>之前将货物按甲方要求在甲方指定地点交货、安装、调试完毕，并具备使用条件，未经甲方允许每推迟一天，按合同总额的千分之五扣除违约金。</w:t>
      </w:r>
    </w:p>
    <w:p>
      <w:pPr>
        <w:adjustRightInd w:val="0"/>
        <w:snapToGrid w:val="0"/>
        <w:spacing w:line="480" w:lineRule="auto"/>
        <w:ind w:firstLine="480" w:firstLineChars="200"/>
        <w:rPr>
          <w:rFonts w:ascii="宋体"/>
          <w:sz w:val="24"/>
        </w:rPr>
      </w:pPr>
      <w:r>
        <w:rPr>
          <w:rFonts w:ascii="宋体" w:hAnsi="宋体" w:cs="宋体"/>
          <w:sz w:val="24"/>
        </w:rPr>
        <w:t>2</w:t>
      </w:r>
      <w:r>
        <w:rPr>
          <w:rFonts w:hint="eastAsia" w:ascii="宋体" w:hAnsi="宋体" w:cs="宋体"/>
          <w:sz w:val="24"/>
        </w:rPr>
        <w:t>、乙方负责所供货物的包装、运输、安装和调试，并承担所发生的费用；甲方为乙方现场安装提供水、电等便利条件。</w:t>
      </w:r>
    </w:p>
    <w:p>
      <w:pPr>
        <w:adjustRightInd w:val="0"/>
        <w:snapToGrid w:val="0"/>
        <w:spacing w:line="480" w:lineRule="auto"/>
        <w:ind w:firstLine="480" w:firstLineChars="200"/>
        <w:rPr>
          <w:rFonts w:ascii="宋体"/>
          <w:sz w:val="24"/>
        </w:rPr>
      </w:pPr>
      <w:r>
        <w:rPr>
          <w:rFonts w:ascii="宋体" w:hAnsi="宋体" w:cs="宋体"/>
          <w:sz w:val="24"/>
        </w:rPr>
        <w:t>3</w:t>
      </w:r>
      <w:r>
        <w:rPr>
          <w:rFonts w:hint="eastAsia" w:ascii="宋体" w:hAnsi="宋体" w:cs="宋体"/>
          <w:sz w:val="24"/>
        </w:rPr>
        <w:t>、安装过程中若发生安全事故由乙方承担。</w:t>
      </w:r>
    </w:p>
    <w:p>
      <w:pPr>
        <w:adjustRightInd w:val="0"/>
        <w:snapToGrid w:val="0"/>
        <w:spacing w:line="480" w:lineRule="auto"/>
        <w:ind w:firstLine="480" w:firstLineChars="200"/>
        <w:rPr>
          <w:rFonts w:ascii="宋体"/>
          <w:sz w:val="24"/>
        </w:rPr>
      </w:pPr>
      <w:r>
        <w:rPr>
          <w:rFonts w:ascii="宋体" w:hAnsi="宋体" w:cs="宋体"/>
          <w:sz w:val="24"/>
        </w:rPr>
        <w:t>4</w:t>
      </w:r>
      <w:r>
        <w:rPr>
          <w:rFonts w:hint="eastAsia" w:ascii="宋体" w:hAnsi="宋体" w:cs="宋体"/>
          <w:sz w:val="24"/>
        </w:rPr>
        <w:t>、乙方安装人员应服从甲方的管理，遵守国家法律法规和学校相关制度，否则一切后果均由乙方承担。</w:t>
      </w:r>
    </w:p>
    <w:p>
      <w:pPr>
        <w:adjustRightInd w:val="0"/>
        <w:snapToGrid w:val="0"/>
        <w:spacing w:line="480" w:lineRule="auto"/>
        <w:ind w:firstLine="480" w:firstLineChars="200"/>
        <w:rPr>
          <w:rFonts w:ascii="宋体"/>
          <w:sz w:val="24"/>
        </w:rPr>
      </w:pPr>
      <w:r>
        <w:rPr>
          <w:rFonts w:ascii="宋体" w:hAnsi="宋体" w:cs="宋体"/>
          <w:sz w:val="24"/>
        </w:rPr>
        <w:t>5</w:t>
      </w:r>
      <w:r>
        <w:rPr>
          <w:rFonts w:hint="eastAsia" w:ascii="宋体" w:hAnsi="宋体" w:cs="宋体"/>
          <w:sz w:val="24"/>
        </w:rPr>
        <w:t>、货物交付使用前，乙方负责对提供货物进行看管，并承担货物的丢失、损毁等风险。</w:t>
      </w:r>
    </w:p>
    <w:p>
      <w:pPr>
        <w:adjustRightInd w:val="0"/>
        <w:snapToGrid w:val="0"/>
        <w:spacing w:line="480" w:lineRule="auto"/>
        <w:ind w:firstLine="561" w:firstLineChars="200"/>
        <w:rPr>
          <w:rFonts w:ascii="宋体"/>
          <w:b/>
          <w:bCs/>
          <w:sz w:val="28"/>
          <w:szCs w:val="28"/>
        </w:rPr>
      </w:pPr>
      <w:r>
        <w:rPr>
          <w:rFonts w:hint="eastAsia" w:ascii="宋体" w:hAnsi="宋体" w:cs="宋体"/>
          <w:b/>
          <w:bCs/>
          <w:sz w:val="28"/>
          <w:szCs w:val="28"/>
        </w:rPr>
        <w:t>九、验收方式</w:t>
      </w:r>
    </w:p>
    <w:p>
      <w:pPr>
        <w:adjustRightInd w:val="0"/>
        <w:snapToGrid w:val="0"/>
        <w:spacing w:line="48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、初步验收。甲方按合同所列质量标准、规格型号、技术参数以及数量等在现场验收，并填写初步验收单（详见附件</w:t>
      </w:r>
      <w:r>
        <w:rPr>
          <w:rFonts w:ascii="宋体" w:hAnsi="宋体" w:cs="宋体"/>
          <w:sz w:val="24"/>
        </w:rPr>
        <w:t>4</w:t>
      </w:r>
      <w:r>
        <w:rPr>
          <w:rFonts w:hint="eastAsia" w:ascii="宋体" w:hAnsi="宋体" w:cs="宋体"/>
          <w:sz w:val="24"/>
        </w:rPr>
        <w:t>）。验收时，甲方有权提出采用技术和破坏相结合的方法进行</w:t>
      </w:r>
      <w:r>
        <w:rPr>
          <w:rFonts w:ascii="宋体" w:hAnsi="宋体" w:cs="宋体"/>
          <w:sz w:val="24"/>
        </w:rPr>
        <w:t>验收</w:t>
      </w:r>
      <w:r>
        <w:rPr>
          <w:rFonts w:hint="eastAsia" w:ascii="宋体" w:hAnsi="宋体" w:cs="宋体"/>
          <w:sz w:val="24"/>
        </w:rPr>
        <w:t>。</w:t>
      </w:r>
    </w:p>
    <w:p>
      <w:pPr>
        <w:adjustRightInd w:val="0"/>
        <w:snapToGrid w:val="0"/>
        <w:spacing w:line="480" w:lineRule="auto"/>
        <w:ind w:firstLine="480" w:firstLineChars="200"/>
        <w:rPr>
          <w:rFonts w:ascii="宋体"/>
          <w:sz w:val="24"/>
        </w:rPr>
      </w:pPr>
      <w:r>
        <w:rPr>
          <w:rFonts w:hint="eastAsia" w:ascii="宋体" w:hAnsi="宋体" w:cs="宋体"/>
          <w:sz w:val="24"/>
        </w:rPr>
        <w:t>乙方应向甲方移交所供设备完整的使用说明书、合格证及相关资料。乙方在所有设备（工程）安装调试、软件安装完毕后，开展现场培训，使用户能够独立熟练操作使用仪器或设备，而后由供需双方共同初步验收；甲乙双方如产生异议，由第三方重新进行验收。如果乙方提供的货物与合同不符，甲方有权拒绝验收，由此所产生的一切费用由乙方承担。</w:t>
      </w:r>
    </w:p>
    <w:p>
      <w:pPr>
        <w:adjustRightInd w:val="0"/>
        <w:snapToGrid w:val="0"/>
        <w:spacing w:line="480" w:lineRule="auto"/>
        <w:ind w:firstLine="480" w:firstLineChars="200"/>
        <w:rPr>
          <w:rFonts w:ascii="宋体"/>
          <w:sz w:val="24"/>
        </w:rPr>
      </w:pPr>
      <w:r>
        <w:rPr>
          <w:rFonts w:ascii="宋体" w:hAnsi="宋体" w:cs="宋体"/>
          <w:sz w:val="24"/>
        </w:rPr>
        <w:t>2</w:t>
      </w:r>
      <w:r>
        <w:rPr>
          <w:rFonts w:hint="eastAsia" w:ascii="宋体" w:hAnsi="宋体" w:cs="宋体"/>
          <w:sz w:val="24"/>
        </w:rPr>
        <w:t>、正式验收：依据河南省财政厅“《关于加强政府采购合同监督管理工作的通知》豫财购（</w:t>
      </w:r>
      <w:r>
        <w:rPr>
          <w:rFonts w:ascii="宋体" w:hAnsi="宋体" w:cs="宋体"/>
          <w:sz w:val="24"/>
        </w:rPr>
        <w:t>2010</w:t>
      </w:r>
      <w:r>
        <w:rPr>
          <w:rFonts w:hint="eastAsia" w:ascii="宋体" w:hAnsi="宋体" w:cs="宋体"/>
          <w:sz w:val="24"/>
        </w:rPr>
        <w:t>）</w:t>
      </w:r>
      <w:r>
        <w:rPr>
          <w:rFonts w:ascii="宋体" w:hAnsi="宋体" w:cs="宋体"/>
          <w:sz w:val="24"/>
        </w:rPr>
        <w:t>24</w:t>
      </w:r>
      <w:r>
        <w:rPr>
          <w:rFonts w:hint="eastAsia" w:ascii="宋体" w:hAnsi="宋体" w:cs="宋体"/>
          <w:sz w:val="24"/>
        </w:rPr>
        <w:t>号”文件要求，政府采购合同金额</w:t>
      </w:r>
      <w:r>
        <w:rPr>
          <w:rFonts w:ascii="宋体" w:hAnsi="宋体" w:cs="宋体"/>
          <w:sz w:val="24"/>
        </w:rPr>
        <w:t>50</w:t>
      </w:r>
      <w:r>
        <w:rPr>
          <w:rFonts w:hint="eastAsia" w:ascii="宋体" w:hAnsi="宋体" w:cs="宋体"/>
          <w:sz w:val="24"/>
        </w:rPr>
        <w:t>万元以上的货物采购项目，由使用单位初验合格后，向学校国有资产管理处提出验收申请，国有资产管理处牵头，会同财务、审计、监察、资产管理及专家成立验收专家组进行正式验收。学校验收通过后，才能支付合同款项。</w:t>
      </w:r>
    </w:p>
    <w:p>
      <w:pPr>
        <w:adjustRightInd w:val="0"/>
        <w:snapToGrid w:val="0"/>
        <w:spacing w:line="480" w:lineRule="auto"/>
        <w:ind w:left="480"/>
        <w:rPr>
          <w:rFonts w:hint="eastAsia" w:ascii="宋体" w:hAnsi="宋体" w:cs="宋体"/>
          <w:sz w:val="24"/>
        </w:rPr>
      </w:pPr>
      <w:r>
        <w:rPr>
          <w:rFonts w:hint="eastAsia" w:ascii="宋体" w:hAnsi="宋体" w:cs="宋体"/>
          <w:b/>
          <w:bCs/>
          <w:sz w:val="28"/>
          <w:szCs w:val="28"/>
        </w:rPr>
        <w:t>十、付款方式</w:t>
      </w:r>
    </w:p>
    <w:p>
      <w:pPr>
        <w:adjustRightInd w:val="0"/>
        <w:snapToGrid w:val="0"/>
        <w:spacing w:line="480" w:lineRule="auto"/>
        <w:ind w:left="480"/>
        <w:rPr>
          <w:rFonts w:hint="eastAsia" w:ascii="宋体" w:hAnsi="宋体" w:cs="宋体"/>
          <w:sz w:val="24"/>
        </w:rPr>
      </w:pPr>
      <w:r>
        <w:rPr>
          <w:rFonts w:hint="eastAsia" w:ascii="宋体" w:hAnsi="宋体" w:cs="宋体"/>
          <w:sz w:val="24"/>
        </w:rPr>
        <w:t>1、本合同总价款（大写）为</w:t>
      </w:r>
      <w:r>
        <w:rPr>
          <w:rFonts w:hint="eastAsia" w:ascii="宋体" w:hAnsi="宋体" w:cs="宋体"/>
          <w:b/>
          <w:bCs/>
          <w:sz w:val="24"/>
          <w:u w:val="single"/>
          <w:lang w:val="en-US" w:eastAsia="zh-CN"/>
        </w:rPr>
        <w:t>壹佰捌拾捌万陆仟玖佰元整</w:t>
      </w:r>
      <w:r>
        <w:rPr>
          <w:rFonts w:hint="eastAsia" w:ascii="宋体" w:hAnsi="宋体" w:cs="宋体"/>
          <w:b/>
          <w:bCs/>
          <w:sz w:val="24"/>
        </w:rPr>
        <w:t>（</w:t>
      </w:r>
      <w:r>
        <w:rPr>
          <w:rFonts w:hint="eastAsia" w:ascii="宋体" w:hAnsi="宋体" w:cs="宋体"/>
          <w:b w:val="0"/>
          <w:bCs w:val="0"/>
          <w:sz w:val="24"/>
        </w:rPr>
        <w:t>小写￥</w:t>
      </w:r>
      <w:r>
        <w:rPr>
          <w:rFonts w:hint="eastAsia" w:ascii="宋体" w:hAnsi="宋体" w:cs="宋体"/>
          <w:b/>
          <w:bCs/>
          <w:sz w:val="24"/>
          <w:u w:val="single"/>
          <w:lang w:val="en-US" w:eastAsia="zh-CN"/>
        </w:rPr>
        <w:t>1886900</w:t>
      </w:r>
      <w:r>
        <w:rPr>
          <w:rFonts w:hint="eastAsia" w:ascii="宋体" w:hAnsi="宋体" w:cs="宋体"/>
          <w:b/>
          <w:bCs/>
          <w:sz w:val="24"/>
        </w:rPr>
        <w:t>元）</w:t>
      </w:r>
      <w:r>
        <w:rPr>
          <w:rFonts w:hint="eastAsia" w:ascii="宋体" w:hAnsi="宋体" w:cs="宋体"/>
          <w:sz w:val="24"/>
        </w:rPr>
        <w:t>。</w:t>
      </w:r>
    </w:p>
    <w:p>
      <w:pPr>
        <w:adjustRightInd w:val="0"/>
        <w:snapToGrid w:val="0"/>
        <w:spacing w:line="480" w:lineRule="auto"/>
        <w:ind w:firstLine="480" w:firstLineChars="200"/>
        <w:rPr>
          <w:rFonts w:cs="宋体"/>
          <w:sz w:val="24"/>
        </w:rPr>
      </w:pPr>
      <w:r>
        <w:rPr>
          <w:rFonts w:ascii="宋体" w:hAnsi="宋体" w:cs="宋体"/>
          <w:sz w:val="24"/>
        </w:rPr>
        <w:t>2</w:t>
      </w:r>
      <w:r>
        <w:rPr>
          <w:rFonts w:hint="eastAsia" w:ascii="宋体" w:hAnsi="宋体" w:cs="宋体"/>
          <w:sz w:val="24"/>
        </w:rPr>
        <w:t>、付款方式：</w:t>
      </w:r>
      <w:r>
        <w:rPr>
          <w:rFonts w:hint="eastAsia" w:cs="宋体"/>
          <w:sz w:val="24"/>
        </w:rPr>
        <w:t>货物验收合格后，经审计后，甲方向乙方支付全部货款的</w:t>
      </w:r>
      <w:r>
        <w:rPr>
          <w:rFonts w:ascii="宋体" w:hAnsi="宋体"/>
          <w:sz w:val="24"/>
        </w:rPr>
        <w:t>95</w:t>
      </w:r>
      <w:r>
        <w:rPr>
          <w:rFonts w:hint="eastAsia" w:cs="宋体"/>
          <w:sz w:val="24"/>
        </w:rPr>
        <w:t>％即人民币</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壹佰柒拾玖万贰仟伍佰伍拾伍</w:t>
      </w:r>
      <w:r>
        <w:rPr>
          <w:rFonts w:ascii="宋体" w:hAnsi="宋体" w:cs="宋体"/>
          <w:b/>
          <w:bCs/>
          <w:kern w:val="0"/>
          <w:sz w:val="24"/>
          <w:u w:val="single"/>
        </w:rPr>
        <w:t xml:space="preserve"> </w:t>
      </w:r>
      <w:r>
        <w:rPr>
          <w:rFonts w:hint="eastAsia" w:cs="宋体"/>
          <w:sz w:val="24"/>
        </w:rPr>
        <w:t>元整（小写：￥</w:t>
      </w:r>
      <w:r>
        <w:rPr>
          <w:rFonts w:hint="eastAsia" w:ascii="宋体" w:hAnsi="宋体" w:cs="宋体"/>
          <w:b/>
          <w:bCs/>
          <w:kern w:val="0"/>
          <w:sz w:val="24"/>
          <w:u w:val="single"/>
          <w:lang w:val="en-US" w:eastAsia="zh-CN"/>
        </w:rPr>
        <w:t>1792555</w:t>
      </w:r>
      <w:r>
        <w:rPr>
          <w:rFonts w:ascii="宋体" w:hAnsi="宋体" w:cs="宋体"/>
          <w:b/>
          <w:bCs/>
          <w:kern w:val="0"/>
          <w:sz w:val="24"/>
          <w:u w:val="single"/>
        </w:rPr>
        <w:t xml:space="preserve"> </w:t>
      </w:r>
      <w:r>
        <w:rPr>
          <w:rFonts w:hint="eastAsia" w:cs="宋体"/>
          <w:sz w:val="24"/>
        </w:rPr>
        <w:t>元），质保期满后，甲方向乙方支付剩余的全部货</w:t>
      </w:r>
      <w:r>
        <w:rPr>
          <w:rFonts w:hint="eastAsia" w:ascii="宋体" w:hAnsi="宋体" w:cs="宋体"/>
          <w:sz w:val="24"/>
        </w:rPr>
        <w:t>款即</w:t>
      </w:r>
      <w:r>
        <w:rPr>
          <w:rFonts w:hint="eastAsia" w:cs="宋体"/>
          <w:sz w:val="24"/>
        </w:rPr>
        <w:t>人民币</w:t>
      </w:r>
      <w:r>
        <w:rPr>
          <w:rFonts w:ascii="宋体" w:hAnsi="宋体" w:cs="宋体"/>
          <w:b/>
          <w:bCs/>
          <w:kern w:val="0"/>
          <w:sz w:val="24"/>
          <w:u w:val="single"/>
        </w:rPr>
        <w:t xml:space="preserve"> </w:t>
      </w:r>
      <w:r>
        <w:rPr>
          <w:rFonts w:hint="eastAsia" w:ascii="宋体" w:hAnsi="宋体" w:cs="宋体"/>
          <w:b/>
          <w:bCs/>
          <w:kern w:val="0"/>
          <w:sz w:val="24"/>
          <w:u w:val="single"/>
          <w:lang w:val="en-US" w:eastAsia="zh-CN"/>
        </w:rPr>
        <w:t>玖万肆仟叁佰肆拾伍</w:t>
      </w:r>
      <w:r>
        <w:rPr>
          <w:rFonts w:ascii="宋体" w:hAnsi="宋体" w:cs="宋体"/>
          <w:b/>
          <w:bCs/>
          <w:kern w:val="0"/>
          <w:sz w:val="24"/>
          <w:u w:val="single"/>
        </w:rPr>
        <w:t xml:space="preserve"> </w:t>
      </w:r>
      <w:r>
        <w:rPr>
          <w:rFonts w:hint="eastAsia" w:cs="宋体"/>
          <w:sz w:val="24"/>
        </w:rPr>
        <w:t>元整（小写：￥</w:t>
      </w:r>
      <w:r>
        <w:rPr>
          <w:rFonts w:hint="eastAsia" w:ascii="宋体" w:hAnsi="宋体" w:cs="宋体"/>
          <w:b/>
          <w:bCs/>
          <w:kern w:val="0"/>
          <w:sz w:val="24"/>
          <w:u w:val="single"/>
          <w:lang w:val="en-US" w:eastAsia="zh-CN"/>
        </w:rPr>
        <w:t>94345</w:t>
      </w:r>
      <w:r>
        <w:rPr>
          <w:rFonts w:ascii="宋体" w:hAnsi="宋体" w:cs="宋体"/>
          <w:b/>
          <w:bCs/>
          <w:kern w:val="0"/>
          <w:sz w:val="24"/>
          <w:u w:val="single"/>
        </w:rPr>
        <w:t xml:space="preserve"> </w:t>
      </w:r>
      <w:r>
        <w:rPr>
          <w:rFonts w:hint="eastAsia" w:cs="宋体"/>
          <w:sz w:val="24"/>
        </w:rPr>
        <w:t>元）。</w:t>
      </w:r>
    </w:p>
    <w:p>
      <w:pPr>
        <w:adjustRightInd w:val="0"/>
        <w:snapToGrid w:val="0"/>
        <w:spacing w:line="480" w:lineRule="auto"/>
        <w:ind w:firstLine="561" w:firstLineChars="200"/>
        <w:rPr>
          <w:rFonts w:ascii="宋体" w:hAnsi="宋体" w:cs="宋体"/>
          <w:b/>
          <w:bCs/>
          <w:sz w:val="28"/>
          <w:szCs w:val="28"/>
        </w:rPr>
      </w:pPr>
      <w:r>
        <w:rPr>
          <w:rFonts w:hint="eastAsia" w:ascii="宋体" w:hAnsi="宋体" w:cs="宋体"/>
          <w:b/>
          <w:bCs/>
          <w:sz w:val="28"/>
          <w:szCs w:val="28"/>
        </w:rPr>
        <w:t>十一</w:t>
      </w:r>
      <w:r>
        <w:rPr>
          <w:rFonts w:ascii="宋体" w:hAnsi="宋体" w:cs="宋体"/>
          <w:b/>
          <w:bCs/>
          <w:sz w:val="28"/>
          <w:szCs w:val="28"/>
        </w:rPr>
        <w:t>、履约担保</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乙方向甲方以转帐的方式提供合同总额5%的履约保证金。履约担保金</w:t>
      </w:r>
      <w:r>
        <w:rPr>
          <w:rFonts w:ascii="宋体" w:hAnsi="宋体" w:cs="宋体"/>
          <w:sz w:val="24"/>
        </w:rPr>
        <w:t>在签订合同前交学校财务</w:t>
      </w:r>
      <w:r>
        <w:rPr>
          <w:rFonts w:hint="eastAsia" w:ascii="宋体" w:hAnsi="宋体" w:cs="宋体"/>
          <w:sz w:val="24"/>
        </w:rPr>
        <w:t>处</w:t>
      </w:r>
      <w:r>
        <w:rPr>
          <w:rFonts w:ascii="宋体" w:hAnsi="宋体" w:cs="宋体"/>
          <w:sz w:val="24"/>
        </w:rPr>
        <w:t>，</w:t>
      </w:r>
      <w:r>
        <w:rPr>
          <w:rFonts w:hint="eastAsia" w:ascii="宋体" w:hAnsi="宋体" w:cs="宋体"/>
          <w:sz w:val="24"/>
        </w:rPr>
        <w:t>货物验收合格，正式交付</w:t>
      </w:r>
      <w:r>
        <w:rPr>
          <w:rFonts w:ascii="宋体" w:hAnsi="宋体" w:cs="宋体"/>
          <w:sz w:val="24"/>
        </w:rPr>
        <w:t>使用</w:t>
      </w:r>
      <w:r>
        <w:rPr>
          <w:rFonts w:hint="eastAsia" w:ascii="宋体" w:hAnsi="宋体" w:cs="宋体"/>
          <w:sz w:val="24"/>
        </w:rPr>
        <w:t>后予以退还</w:t>
      </w:r>
      <w:r>
        <w:rPr>
          <w:rFonts w:ascii="宋体" w:hAnsi="宋体" w:cs="宋体"/>
          <w:sz w:val="24"/>
        </w:rPr>
        <w:t>。</w:t>
      </w:r>
    </w:p>
    <w:p>
      <w:pPr>
        <w:adjustRightInd w:val="0"/>
        <w:snapToGrid w:val="0"/>
        <w:spacing w:line="480" w:lineRule="auto"/>
        <w:ind w:firstLine="561" w:firstLineChars="200"/>
        <w:rPr>
          <w:rFonts w:ascii="宋体"/>
          <w:b/>
          <w:bCs/>
          <w:sz w:val="28"/>
          <w:szCs w:val="28"/>
        </w:rPr>
      </w:pPr>
      <w:r>
        <w:rPr>
          <w:rFonts w:hint="eastAsia" w:ascii="宋体" w:hAnsi="宋体" w:cs="宋体"/>
          <w:b/>
          <w:bCs/>
          <w:sz w:val="28"/>
          <w:szCs w:val="28"/>
        </w:rPr>
        <w:t>十二、违约责任</w:t>
      </w:r>
    </w:p>
    <w:p>
      <w:pPr>
        <w:adjustRightInd w:val="0"/>
        <w:snapToGrid w:val="0"/>
        <w:spacing w:line="480" w:lineRule="auto"/>
        <w:ind w:firstLine="460" w:firstLineChars="192"/>
        <w:rPr>
          <w:sz w:val="24"/>
        </w:rPr>
      </w:pPr>
      <w:r>
        <w:rPr>
          <w:rFonts w:hint="eastAsia" w:ascii="宋体" w:hAnsi="宋体" w:cs="宋体"/>
          <w:sz w:val="24"/>
        </w:rPr>
        <w:t>乙方所交的货物产地、品牌、型号、规格、质量以及技术标准、数量等不符合合同要求，甲方有权拒收，由此产生的一切费用由乙方负责；因货物更换而造成逾期交货，则按逾期交货处理，乙方应向甲方每天支付合同标总额日千分之五的违约金。甲</w:t>
      </w:r>
      <w:r>
        <w:rPr>
          <w:rFonts w:hint="eastAsia" w:cs="宋体"/>
          <w:sz w:val="24"/>
        </w:rPr>
        <w:t>方无正当理由拒收设备，应向供方偿付拒收设备款额百分之五的违约金。</w:t>
      </w:r>
    </w:p>
    <w:p>
      <w:pPr>
        <w:adjustRightInd w:val="0"/>
        <w:snapToGrid w:val="0"/>
        <w:spacing w:line="480" w:lineRule="auto"/>
        <w:ind w:firstLine="460" w:firstLineChars="192"/>
        <w:rPr>
          <w:rFonts w:ascii="宋体"/>
          <w:sz w:val="24"/>
        </w:rPr>
      </w:pPr>
      <w:r>
        <w:rPr>
          <w:rFonts w:hint="eastAsia" w:ascii="宋体" w:hAnsi="宋体" w:cs="宋体"/>
          <w:sz w:val="24"/>
        </w:rPr>
        <w:t>甲方逾期付款，应向乙方支付本合同标的总额的日万分之四的违约金。</w:t>
      </w:r>
    </w:p>
    <w:p>
      <w:pPr>
        <w:adjustRightInd w:val="0"/>
        <w:snapToGrid w:val="0"/>
        <w:spacing w:line="480" w:lineRule="auto"/>
        <w:ind w:firstLine="561" w:firstLineChars="200"/>
        <w:rPr>
          <w:rFonts w:ascii="宋体"/>
          <w:b/>
          <w:bCs/>
          <w:sz w:val="28"/>
          <w:szCs w:val="28"/>
        </w:rPr>
      </w:pPr>
      <w:r>
        <w:rPr>
          <w:rFonts w:hint="eastAsia" w:ascii="宋体" w:hAnsi="宋体" w:cs="宋体"/>
          <w:b/>
          <w:bCs/>
          <w:sz w:val="28"/>
          <w:szCs w:val="28"/>
        </w:rPr>
        <w:t>十三、其它</w:t>
      </w:r>
    </w:p>
    <w:p>
      <w:pPr>
        <w:adjustRightInd w:val="0"/>
        <w:snapToGrid w:val="0"/>
        <w:spacing w:line="480" w:lineRule="auto"/>
        <w:ind w:firstLine="480" w:firstLineChars="200"/>
        <w:rPr>
          <w:rFonts w:ascii="宋体"/>
          <w:sz w:val="24"/>
        </w:rPr>
      </w:pPr>
      <w:r>
        <w:rPr>
          <w:rFonts w:ascii="宋体" w:hAnsi="宋体" w:cs="宋体"/>
          <w:sz w:val="24"/>
        </w:rPr>
        <w:t>1</w:t>
      </w:r>
      <w:r>
        <w:rPr>
          <w:rFonts w:hint="eastAsia" w:ascii="宋体" w:hAnsi="宋体" w:cs="宋体"/>
          <w:sz w:val="24"/>
        </w:rPr>
        <w:t>、组成本合同的文件及解释顺序为：投标书及其附件、本合同及补充条款；招标文件及补充通知；中标通知书；国家、行业或企业（以最高的为准）标准、规范及有关技术文件。</w:t>
      </w:r>
    </w:p>
    <w:p>
      <w:pPr>
        <w:adjustRightInd w:val="0"/>
        <w:snapToGrid w:val="0"/>
        <w:spacing w:line="480" w:lineRule="auto"/>
        <w:ind w:firstLine="600" w:firstLineChars="250"/>
        <w:rPr>
          <w:rFonts w:ascii="宋体"/>
          <w:sz w:val="24"/>
        </w:rPr>
      </w:pPr>
      <w:r>
        <w:rPr>
          <w:rFonts w:ascii="宋体" w:hAnsi="宋体" w:cs="宋体"/>
          <w:sz w:val="24"/>
        </w:rPr>
        <w:t>2</w:t>
      </w:r>
      <w:r>
        <w:rPr>
          <w:rFonts w:hint="eastAsia" w:ascii="宋体" w:hAnsi="宋体" w:cs="宋体"/>
          <w:sz w:val="24"/>
        </w:rPr>
        <w:t>、双方在执行合同时产生纠纷，协商解决，协商不成，到郑州市人民法院起诉解决。</w:t>
      </w:r>
    </w:p>
    <w:p>
      <w:pPr>
        <w:adjustRightInd w:val="0"/>
        <w:snapToGrid w:val="0"/>
        <w:spacing w:line="480" w:lineRule="auto"/>
        <w:ind w:firstLine="480" w:firstLineChars="200"/>
        <w:rPr>
          <w:rFonts w:ascii="宋体"/>
          <w:sz w:val="24"/>
        </w:rPr>
      </w:pPr>
      <w:r>
        <w:rPr>
          <w:rFonts w:ascii="宋体" w:hAnsi="宋体" w:cs="宋体"/>
          <w:sz w:val="24"/>
        </w:rPr>
        <w:t>3</w:t>
      </w:r>
      <w:r>
        <w:rPr>
          <w:rFonts w:hint="eastAsia" w:ascii="宋体" w:hAnsi="宋体" w:cs="宋体"/>
          <w:sz w:val="24"/>
        </w:rPr>
        <w:t>、本合同共</w:t>
      </w:r>
      <w:r>
        <w:rPr>
          <w:rFonts w:ascii="宋体" w:hAnsi="宋体" w:cs="宋体"/>
          <w:sz w:val="24"/>
          <w:u w:val="single"/>
        </w:rPr>
        <w:t xml:space="preserve">  32  </w:t>
      </w:r>
      <w:r>
        <w:rPr>
          <w:rFonts w:hint="eastAsia" w:ascii="宋体" w:hAnsi="宋体" w:cs="宋体"/>
          <w:sz w:val="24"/>
        </w:rPr>
        <w:t>页，一式八份，甲方执四份，乙方执二份，招标公司二份。</w:t>
      </w:r>
    </w:p>
    <w:p>
      <w:pPr>
        <w:adjustRightInd w:val="0"/>
        <w:snapToGrid w:val="0"/>
        <w:spacing w:line="480" w:lineRule="auto"/>
        <w:ind w:firstLine="480" w:firstLineChars="200"/>
        <w:rPr>
          <w:rFonts w:ascii="宋体"/>
          <w:sz w:val="24"/>
        </w:rPr>
      </w:pPr>
      <w:r>
        <w:rPr>
          <w:rFonts w:ascii="宋体" w:hAnsi="宋体" w:cs="宋体"/>
          <w:sz w:val="24"/>
        </w:rPr>
        <w:t>4</w:t>
      </w:r>
      <w:r>
        <w:rPr>
          <w:rFonts w:hint="eastAsia" w:ascii="宋体" w:hAnsi="宋体" w:cs="宋体"/>
          <w:sz w:val="24"/>
        </w:rPr>
        <w:t>、本合同未尽事宜，供需双方可签订补充协议，与本合同具有同等法律效力。</w:t>
      </w:r>
    </w:p>
    <w:p>
      <w:pPr>
        <w:adjustRightInd w:val="0"/>
        <w:snapToGrid w:val="0"/>
        <w:spacing w:line="480" w:lineRule="auto"/>
        <w:ind w:firstLine="480" w:firstLineChars="200"/>
        <w:rPr>
          <w:sz w:val="24"/>
        </w:rPr>
      </w:pPr>
      <w:r>
        <w:rPr>
          <w:rFonts w:ascii="宋体" w:hAnsi="宋体" w:cs="宋体"/>
          <w:sz w:val="24"/>
        </w:rPr>
        <w:t>5</w:t>
      </w:r>
      <w:r>
        <w:rPr>
          <w:rFonts w:hint="eastAsia" w:ascii="宋体" w:hAnsi="宋体" w:cs="宋体"/>
          <w:sz w:val="24"/>
        </w:rPr>
        <w:t>、合同有效期：本合同双方签字盖章后生效，合同签署之日起至合同内容执行完毕为本合同有效期。</w:t>
      </w:r>
      <w:r>
        <w:rPr>
          <w:sz w:val="24"/>
        </w:rPr>
        <w:t xml:space="preserve">                        </w:t>
      </w:r>
    </w:p>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甲方：</w:t>
      </w:r>
      <w:r>
        <w:rPr>
          <w:rFonts w:hint="eastAsia" w:ascii="宋体" w:hAnsi="宋体" w:eastAsia="宋体" w:cs="宋体"/>
          <w:b w:val="0"/>
          <w:bCs w:val="0"/>
          <w:sz w:val="24"/>
          <w:szCs w:val="24"/>
          <w:lang w:val="en-US" w:eastAsia="zh-CN"/>
        </w:rPr>
        <w:t>郑州大学</w:t>
      </w:r>
      <w:r>
        <w:rPr>
          <w:rFonts w:hint="eastAsia" w:ascii="宋体" w:hAnsi="宋体" w:eastAsia="宋体" w:cs="宋体"/>
          <w:b w:val="0"/>
          <w:bCs w:val="0"/>
          <w:sz w:val="24"/>
          <w:szCs w:val="24"/>
        </w:rPr>
        <w:t xml:space="preserve">                       乙方：</w:t>
      </w:r>
      <w:r>
        <w:rPr>
          <w:rFonts w:hint="eastAsia" w:ascii="宋体" w:hAnsi="宋体" w:eastAsia="宋体" w:cs="宋体"/>
          <w:b w:val="0"/>
          <w:bCs w:val="0"/>
          <w:sz w:val="24"/>
          <w:szCs w:val="24"/>
          <w:lang w:val="en-US" w:eastAsia="zh-CN"/>
        </w:rPr>
        <w:t>河南锋恩电气有限公司</w:t>
      </w:r>
      <w:r>
        <w:rPr>
          <w:rFonts w:hint="eastAsia" w:ascii="宋体" w:hAnsi="宋体" w:eastAsia="宋体" w:cs="宋体"/>
          <w:b w:val="0"/>
          <w:bCs w:val="0"/>
          <w:sz w:val="24"/>
          <w:szCs w:val="24"/>
        </w:rPr>
        <w:t xml:space="preserve"> </w:t>
      </w:r>
    </w:p>
    <w:p>
      <w:pPr>
        <w:pStyle w:val="7"/>
        <w:tabs>
          <w:tab w:val="left" w:pos="3232"/>
          <w:tab w:val="left" w:pos="8529"/>
        </w:tabs>
        <w:wordWrap w:val="0"/>
        <w:spacing w:line="360" w:lineRule="auto"/>
        <w:ind w:left="4437" w:leftChars="0" w:hanging="4437" w:hangingChars="1849"/>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地址：</w:t>
      </w:r>
      <w:r>
        <w:rPr>
          <w:rFonts w:hint="eastAsia" w:ascii="宋体" w:hAnsi="宋体" w:eastAsia="宋体" w:cs="宋体"/>
          <w:b w:val="0"/>
          <w:bCs w:val="0"/>
          <w:sz w:val="24"/>
          <w:szCs w:val="24"/>
          <w:lang w:val="en-US" w:eastAsia="zh-CN"/>
        </w:rPr>
        <w:t>高新区科学大道100号</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val="0"/>
          <w:sz w:val="24"/>
          <w:szCs w:val="24"/>
          <w:lang w:val="en-US" w:eastAsia="zh-CN"/>
        </w:rPr>
        <w:t>郑州高新技术开发区长椿路11号河南省国家大学科技园孵化园区1号孵化楼1515号</w:t>
      </w:r>
      <w:r>
        <w:rPr>
          <w:rFonts w:hint="eastAsia" w:ascii="宋体" w:hAnsi="宋体" w:eastAsia="宋体" w:cs="宋体"/>
          <w:b w:val="0"/>
          <w:bCs w:val="0"/>
          <w:sz w:val="24"/>
          <w:szCs w:val="24"/>
        </w:rPr>
        <w:t xml:space="preserve"> </w:t>
      </w:r>
    </w:p>
    <w:p>
      <w:pPr>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签字代表（或委托代理人）：           签字代表：</w:t>
      </w:r>
    </w:p>
    <w:p>
      <w:pPr>
        <w:tabs>
          <w:tab w:val="left" w:pos="4860"/>
        </w:tabs>
        <w:autoSpaceDE w:val="0"/>
        <w:autoSpaceDN w:val="0"/>
        <w:adjustRightInd w:val="0"/>
        <w:snapToGrid w:val="0"/>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sz w:val="24"/>
          <w:szCs w:val="24"/>
        </w:rPr>
        <w:t>电话：                               电话：</w:t>
      </w:r>
      <w:r>
        <w:rPr>
          <w:rFonts w:hint="eastAsia" w:ascii="宋体" w:hAnsi="宋体" w:eastAsia="宋体" w:cs="宋体"/>
          <w:b w:val="0"/>
          <w:bCs w:val="0"/>
          <w:kern w:val="0"/>
          <w:sz w:val="24"/>
          <w:szCs w:val="24"/>
          <w:lang w:val="en-US" w:eastAsia="zh-CN"/>
        </w:rPr>
        <w:t>0371-86560205</w:t>
      </w:r>
    </w:p>
    <w:p>
      <w:pPr>
        <w:snapToGrid w:val="0"/>
        <w:spacing w:line="360" w:lineRule="auto"/>
        <w:ind w:left="4435" w:leftChars="569" w:hanging="3240" w:hangingChars="135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 xml:space="preserve">                           开户银行：</w:t>
      </w:r>
      <w:r>
        <w:rPr>
          <w:rFonts w:hint="eastAsia" w:ascii="宋体" w:hAnsi="宋体" w:eastAsia="宋体" w:cs="宋体"/>
          <w:b w:val="0"/>
          <w:bCs w:val="0"/>
          <w:kern w:val="0"/>
          <w:sz w:val="24"/>
          <w:szCs w:val="24"/>
          <w:lang w:val="en-US" w:eastAsia="zh-CN"/>
        </w:rPr>
        <w:t>中国银行股份有限公司郑州大学园区支行</w:t>
      </w:r>
    </w:p>
    <w:p>
      <w:pPr>
        <w:autoSpaceDE w:val="0"/>
        <w:autoSpaceDN w:val="0"/>
        <w:adjustRightInd w:val="0"/>
        <w:snapToGrid w:val="0"/>
        <w:spacing w:line="360" w:lineRule="auto"/>
        <w:ind w:firstLine="720" w:firstLineChars="300"/>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 xml:space="preserve">                               账号</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255960032579</w:t>
      </w:r>
    </w:p>
    <w:p>
      <w:pPr>
        <w:snapToGrid w:val="0"/>
        <w:spacing w:line="480" w:lineRule="auto"/>
        <w:jc w:val="center"/>
        <w:rPr>
          <w:rFonts w:ascii="宋体"/>
          <w:sz w:val="28"/>
          <w:szCs w:val="28"/>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 xml:space="preserve">签署日期：     年    月    日 </w:t>
      </w:r>
      <w:r>
        <w:rPr>
          <w:b/>
          <w:bCs/>
          <w:sz w:val="24"/>
        </w:rPr>
        <w:t xml:space="preserve">        </w:t>
      </w:r>
      <w:r>
        <w:rPr>
          <w:rFonts w:ascii="宋体" w:hAnsi="宋体" w:cs="宋体"/>
          <w:b/>
          <w:bCs/>
          <w:sz w:val="28"/>
          <w:szCs w:val="28"/>
        </w:rPr>
        <w:t xml:space="preserve">       </w:t>
      </w:r>
    </w:p>
    <w:p>
      <w:pPr>
        <w:spacing w:line="360" w:lineRule="auto"/>
        <w:rPr>
          <w:rFonts w:ascii="宋体"/>
          <w:b/>
          <w:bCs/>
          <w:sz w:val="28"/>
          <w:szCs w:val="28"/>
        </w:rPr>
        <w:sectPr>
          <w:footerReference r:id="rId3" w:type="default"/>
          <w:pgSz w:w="11906" w:h="16838"/>
          <w:pgMar w:top="1418" w:right="1701" w:bottom="1418" w:left="1701"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z w:val="28"/>
          <w:szCs w:val="36"/>
        </w:rPr>
      </w:pPr>
      <w:r>
        <w:rPr>
          <w:rFonts w:hint="eastAsia" w:ascii="宋体" w:hAnsi="宋体" w:eastAsia="宋体" w:cs="宋体"/>
          <w:b/>
          <w:bCs/>
          <w:sz w:val="28"/>
          <w:szCs w:val="36"/>
        </w:rPr>
        <w:t xml:space="preserve">附1： </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Times New Roman" w:hAnsi="Times New Roman" w:eastAsia="宋体" w:cs="Times New Roman"/>
          <w:kern w:val="1"/>
          <w:sz w:val="21"/>
          <w:szCs w:val="24"/>
          <w:lang w:val="en-US" w:eastAsia="zh-CN" w:bidi="ar-SA"/>
        </w:rPr>
      </w:pPr>
      <w:r>
        <w:rPr>
          <w:rFonts w:hint="eastAsia" w:ascii="宋体" w:hAnsi="宋体" w:eastAsia="宋体" w:cs="宋体"/>
          <w:b/>
          <w:bCs/>
          <w:sz w:val="28"/>
          <w:szCs w:val="36"/>
        </w:rPr>
        <w:t>供货范围及分项价格表</w:t>
      </w:r>
      <w:r>
        <w:rPr>
          <w:rFonts w:hint="eastAsia" w:ascii="宋体" w:hAnsi="宋体" w:eastAsia="宋体" w:cs="宋体"/>
          <w:b/>
          <w:bCs/>
          <w:sz w:val="28"/>
          <w:szCs w:val="36"/>
          <w:lang w:val="en-US" w:eastAsia="zh-CN"/>
        </w:rPr>
        <w:t xml:space="preserve">                                单位：元  </w:t>
      </w:r>
      <w:r>
        <w:rPr>
          <w:rFonts w:hint="eastAsia" w:eastAsia="宋体"/>
          <w:sz w:val="28"/>
          <w:szCs w:val="36"/>
          <w:lang w:val="en-US" w:eastAsia="zh-CN"/>
        </w:rPr>
        <w:t xml:space="preserve">                                                                        </w:t>
      </w:r>
    </w:p>
    <w:tbl>
      <w:tblPr>
        <w:tblStyle w:val="15"/>
        <w:tblpPr w:leftFromText="180" w:rightFromText="180" w:vertAnchor="text" w:horzAnchor="page" w:tblpX="1566" w:tblpY="6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025"/>
        <w:gridCol w:w="1980"/>
        <w:gridCol w:w="2588"/>
        <w:gridCol w:w="1314"/>
        <w:gridCol w:w="1232"/>
        <w:gridCol w:w="1359"/>
        <w:gridCol w:w="143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trPr>
        <w:tc>
          <w:tcPr>
            <w:tcW w:w="731" w:type="dxa"/>
            <w:vAlign w:val="center"/>
          </w:tcPr>
          <w:p>
            <w:pPr>
              <w:spacing w:line="300" w:lineRule="exact"/>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025" w:type="dxa"/>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设备名称</w:t>
            </w:r>
          </w:p>
        </w:tc>
        <w:tc>
          <w:tcPr>
            <w:tcW w:w="1980" w:type="dxa"/>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品牌型号</w:t>
            </w:r>
          </w:p>
        </w:tc>
        <w:tc>
          <w:tcPr>
            <w:tcW w:w="2588" w:type="dxa"/>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制造厂（商）</w:t>
            </w:r>
          </w:p>
        </w:tc>
        <w:tc>
          <w:tcPr>
            <w:tcW w:w="1314" w:type="dxa"/>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原产地（国）</w:t>
            </w:r>
          </w:p>
        </w:tc>
        <w:tc>
          <w:tcPr>
            <w:tcW w:w="1232" w:type="dxa"/>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359" w:type="dxa"/>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单价</w:t>
            </w:r>
          </w:p>
        </w:tc>
        <w:tc>
          <w:tcPr>
            <w:tcW w:w="1434" w:type="dxa"/>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合价</w:t>
            </w:r>
          </w:p>
        </w:tc>
        <w:tc>
          <w:tcPr>
            <w:tcW w:w="1074" w:type="dxa"/>
            <w:vAlign w:val="center"/>
          </w:tcPr>
          <w:p>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火力发电智能仿真实验平台</w:t>
            </w:r>
          </w:p>
        </w:tc>
        <w:tc>
          <w:tcPr>
            <w:tcW w:w="1980"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绿盟仿真平台V1.0-火力发电</w:t>
            </w:r>
          </w:p>
        </w:tc>
        <w:tc>
          <w:tcPr>
            <w:tcW w:w="2588"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北京神州绿盟科技</w:t>
            </w:r>
            <w:r>
              <w:rPr>
                <w:rFonts w:hint="default" w:ascii="宋体" w:hAnsi="宋体" w:eastAsia="宋体" w:cs="宋体"/>
                <w:sz w:val="24"/>
                <w:szCs w:val="24"/>
              </w:rPr>
              <w:t>有限公司</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135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198500</w:t>
            </w:r>
          </w:p>
        </w:tc>
        <w:tc>
          <w:tcPr>
            <w:tcW w:w="143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198500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风力发电智能仿真实验平台</w:t>
            </w:r>
          </w:p>
        </w:tc>
        <w:tc>
          <w:tcPr>
            <w:tcW w:w="1980"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绿盟仿真平台V1.0-风力发电</w:t>
            </w:r>
          </w:p>
        </w:tc>
        <w:tc>
          <w:tcPr>
            <w:tcW w:w="2588"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北京神州绿盟科技</w:t>
            </w:r>
            <w:r>
              <w:rPr>
                <w:rFonts w:hint="default" w:ascii="宋体" w:hAnsi="宋体" w:eastAsia="宋体" w:cs="宋体"/>
                <w:sz w:val="24"/>
                <w:szCs w:val="24"/>
              </w:rPr>
              <w:t>有限公司</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1359" w:type="dxa"/>
            <w:vAlign w:val="center"/>
          </w:tcPr>
          <w:p>
            <w:pPr>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197000</w:t>
            </w:r>
          </w:p>
        </w:tc>
        <w:tc>
          <w:tcPr>
            <w:tcW w:w="1434" w:type="dxa"/>
            <w:vAlign w:val="center"/>
          </w:tcPr>
          <w:p>
            <w:pPr>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197000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智能电网仿真实验平台</w:t>
            </w:r>
          </w:p>
        </w:tc>
        <w:tc>
          <w:tcPr>
            <w:tcW w:w="1980"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绿盟仿真平台V1.0-电网</w:t>
            </w:r>
          </w:p>
        </w:tc>
        <w:tc>
          <w:tcPr>
            <w:tcW w:w="2588" w:type="dxa"/>
            <w:vAlign w:val="center"/>
          </w:tcPr>
          <w:p>
            <w:pPr>
              <w:spacing w:line="300" w:lineRule="exact"/>
              <w:ind w:firstLine="210"/>
              <w:jc w:val="center"/>
              <w:rPr>
                <w:rFonts w:hint="eastAsia" w:ascii="宋体" w:hAnsi="宋体" w:eastAsia="宋体" w:cs="宋体"/>
                <w:sz w:val="24"/>
                <w:szCs w:val="24"/>
              </w:rPr>
            </w:pPr>
            <w:r>
              <w:rPr>
                <w:rFonts w:hint="eastAsia" w:ascii="宋体" w:hAnsi="宋体" w:eastAsia="宋体" w:cs="宋体"/>
                <w:sz w:val="24"/>
                <w:szCs w:val="24"/>
              </w:rPr>
              <w:t>北京神州绿盟科技</w:t>
            </w:r>
            <w:r>
              <w:rPr>
                <w:rFonts w:hint="default" w:ascii="宋体" w:hAnsi="宋体" w:eastAsia="宋体" w:cs="宋体"/>
                <w:sz w:val="24"/>
                <w:szCs w:val="24"/>
              </w:rPr>
              <w:t>有限公司</w:t>
            </w:r>
          </w:p>
        </w:tc>
        <w:tc>
          <w:tcPr>
            <w:tcW w:w="1314"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198000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198000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工业仿真控制机</w:t>
            </w:r>
          </w:p>
        </w:tc>
        <w:tc>
          <w:tcPr>
            <w:tcW w:w="19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绿盟仿真平台V1.0-SND\XMZ</w:t>
            </w:r>
          </w:p>
        </w:tc>
        <w:tc>
          <w:tcPr>
            <w:tcW w:w="2588" w:type="dxa"/>
            <w:vAlign w:val="center"/>
          </w:tcPr>
          <w:p>
            <w:pPr>
              <w:spacing w:line="300" w:lineRule="exact"/>
              <w:ind w:firstLine="210"/>
              <w:jc w:val="center"/>
              <w:rPr>
                <w:rFonts w:hint="eastAsia" w:ascii="宋体" w:hAnsi="宋体" w:eastAsia="宋体" w:cs="宋体"/>
                <w:sz w:val="24"/>
                <w:szCs w:val="24"/>
              </w:rPr>
            </w:pPr>
            <w:r>
              <w:rPr>
                <w:rFonts w:hint="eastAsia" w:ascii="宋体" w:hAnsi="宋体" w:eastAsia="宋体" w:cs="宋体"/>
                <w:sz w:val="24"/>
                <w:szCs w:val="24"/>
              </w:rPr>
              <w:t>北京神州绿盟科技</w:t>
            </w:r>
            <w:r>
              <w:rPr>
                <w:rFonts w:hint="default" w:ascii="宋体" w:hAnsi="宋体" w:eastAsia="宋体" w:cs="宋体"/>
                <w:sz w:val="24"/>
                <w:szCs w:val="24"/>
              </w:rPr>
              <w:t>有限公司</w:t>
            </w:r>
          </w:p>
        </w:tc>
        <w:tc>
          <w:tcPr>
            <w:tcW w:w="1314"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45000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90000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终端工控机</w:t>
            </w:r>
          </w:p>
        </w:tc>
        <w:tc>
          <w:tcPr>
            <w:tcW w:w="1980"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绿盟终端信号模拟器QH-VISG2-ED/EN</w:t>
            </w:r>
          </w:p>
        </w:tc>
        <w:tc>
          <w:tcPr>
            <w:tcW w:w="2588" w:type="dxa"/>
            <w:vAlign w:val="center"/>
          </w:tcPr>
          <w:p>
            <w:pPr>
              <w:spacing w:line="300" w:lineRule="exact"/>
              <w:ind w:firstLine="210"/>
              <w:jc w:val="center"/>
              <w:rPr>
                <w:rFonts w:hint="eastAsia" w:ascii="宋体" w:hAnsi="宋体" w:eastAsia="宋体" w:cs="宋体"/>
                <w:sz w:val="24"/>
                <w:szCs w:val="24"/>
              </w:rPr>
            </w:pPr>
            <w:r>
              <w:rPr>
                <w:rFonts w:hint="eastAsia" w:ascii="宋体" w:hAnsi="宋体" w:eastAsia="宋体" w:cs="宋体"/>
                <w:sz w:val="24"/>
                <w:szCs w:val="24"/>
              </w:rPr>
              <w:t>北京神州绿盟科技</w:t>
            </w:r>
            <w:r>
              <w:rPr>
                <w:rFonts w:hint="default" w:ascii="宋体" w:hAnsi="宋体" w:eastAsia="宋体" w:cs="宋体"/>
                <w:sz w:val="24"/>
                <w:szCs w:val="24"/>
              </w:rPr>
              <w:t>有限公司</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43000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43000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智能电网分布式节点规划平台</w:t>
            </w:r>
          </w:p>
        </w:tc>
        <w:tc>
          <w:tcPr>
            <w:tcW w:w="1980"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易智瑞ArcGIS Pro 2.6</w:t>
            </w:r>
          </w:p>
        </w:tc>
        <w:tc>
          <w:tcPr>
            <w:tcW w:w="2588" w:type="dxa"/>
            <w:vAlign w:val="center"/>
          </w:tcPr>
          <w:p>
            <w:pPr>
              <w:spacing w:line="300" w:lineRule="exact"/>
              <w:ind w:firstLine="210"/>
              <w:jc w:val="center"/>
              <w:rPr>
                <w:rFonts w:hint="eastAsia" w:ascii="宋体" w:hAnsi="宋体" w:eastAsia="宋体" w:cs="宋体"/>
                <w:sz w:val="24"/>
                <w:szCs w:val="24"/>
              </w:rPr>
            </w:pPr>
            <w:r>
              <w:rPr>
                <w:rFonts w:hint="eastAsia" w:ascii="宋体" w:hAnsi="宋体" w:eastAsia="宋体" w:cs="宋体"/>
                <w:sz w:val="24"/>
                <w:szCs w:val="24"/>
                <w:lang w:val="en-US" w:eastAsia="zh-CN"/>
              </w:rPr>
              <w:t>易智瑞</w:t>
            </w:r>
            <w:r>
              <w:rPr>
                <w:rFonts w:hint="default" w:ascii="宋体" w:hAnsi="宋体" w:eastAsia="宋体" w:cs="宋体"/>
                <w:sz w:val="24"/>
                <w:szCs w:val="24"/>
                <w:lang w:val="en-US" w:eastAsia="zh-CN"/>
              </w:rPr>
              <w:t>信息技术有限公司</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分布式节点规划云平台</w:t>
            </w:r>
          </w:p>
        </w:tc>
        <w:tc>
          <w:tcPr>
            <w:tcW w:w="1980"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易智瑞ArcGIS SERVER 10.8</w:t>
            </w:r>
          </w:p>
        </w:tc>
        <w:tc>
          <w:tcPr>
            <w:tcW w:w="2588" w:type="dxa"/>
            <w:vAlign w:val="center"/>
          </w:tcPr>
          <w:p>
            <w:pPr>
              <w:spacing w:line="300" w:lineRule="exact"/>
              <w:ind w:firstLine="210"/>
              <w:jc w:val="center"/>
              <w:rPr>
                <w:rFonts w:hint="eastAsia" w:ascii="宋体" w:hAnsi="宋体" w:eastAsia="宋体" w:cs="宋体"/>
                <w:sz w:val="24"/>
                <w:szCs w:val="24"/>
              </w:rPr>
            </w:pPr>
            <w:r>
              <w:rPr>
                <w:rFonts w:hint="eastAsia" w:ascii="宋体" w:hAnsi="宋体" w:eastAsia="宋体" w:cs="宋体"/>
                <w:sz w:val="24"/>
                <w:szCs w:val="24"/>
                <w:lang w:val="en-US" w:eastAsia="zh-CN"/>
              </w:rPr>
              <w:t>易智瑞</w:t>
            </w:r>
            <w:r>
              <w:rPr>
                <w:rFonts w:hint="default" w:ascii="宋体" w:hAnsi="宋体" w:eastAsia="宋体" w:cs="宋体"/>
                <w:sz w:val="24"/>
                <w:szCs w:val="24"/>
                <w:lang w:val="en-US" w:eastAsia="zh-CN"/>
              </w:rPr>
              <w:t>信息技术有限公司</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分布式节点规划开发平台</w:t>
            </w:r>
          </w:p>
        </w:tc>
        <w:tc>
          <w:tcPr>
            <w:tcW w:w="1980"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易智瑞Portal for 10.8</w:t>
            </w:r>
          </w:p>
        </w:tc>
        <w:tc>
          <w:tcPr>
            <w:tcW w:w="2588" w:type="dxa"/>
            <w:vAlign w:val="center"/>
          </w:tcPr>
          <w:p>
            <w:pPr>
              <w:spacing w:line="300" w:lineRule="exact"/>
              <w:ind w:firstLine="210"/>
              <w:jc w:val="center"/>
              <w:rPr>
                <w:rFonts w:hint="eastAsia" w:ascii="宋体" w:hAnsi="宋体" w:eastAsia="宋体" w:cs="宋体"/>
                <w:sz w:val="24"/>
                <w:szCs w:val="24"/>
              </w:rPr>
            </w:pPr>
            <w:r>
              <w:rPr>
                <w:rFonts w:hint="eastAsia" w:ascii="宋体" w:hAnsi="宋体" w:eastAsia="宋体" w:cs="宋体"/>
                <w:sz w:val="24"/>
                <w:szCs w:val="24"/>
                <w:lang w:val="en-US" w:eastAsia="zh-CN"/>
              </w:rPr>
              <w:t>易智瑞</w:t>
            </w:r>
            <w:r>
              <w:rPr>
                <w:rFonts w:hint="default" w:ascii="宋体" w:hAnsi="宋体" w:eastAsia="宋体" w:cs="宋体"/>
                <w:sz w:val="24"/>
                <w:szCs w:val="24"/>
                <w:lang w:val="en-US" w:eastAsia="zh-CN"/>
              </w:rPr>
              <w:t>信息技术有限公司</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工业安全安全网关平台</w:t>
            </w:r>
          </w:p>
        </w:tc>
        <w:tc>
          <w:tcPr>
            <w:tcW w:w="1980"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绿盟工业安全网关V2.0(ISGNX3-2000A)</w:t>
            </w:r>
          </w:p>
        </w:tc>
        <w:tc>
          <w:tcPr>
            <w:tcW w:w="2588" w:type="dxa"/>
            <w:vAlign w:val="center"/>
          </w:tcPr>
          <w:p>
            <w:pPr>
              <w:spacing w:line="300" w:lineRule="exact"/>
              <w:ind w:firstLine="210"/>
              <w:jc w:val="center"/>
              <w:rPr>
                <w:rFonts w:hint="eastAsia" w:ascii="宋体" w:hAnsi="宋体" w:eastAsia="宋体" w:cs="宋体"/>
                <w:sz w:val="24"/>
                <w:szCs w:val="24"/>
              </w:rPr>
            </w:pPr>
            <w:r>
              <w:rPr>
                <w:rFonts w:hint="eastAsia" w:ascii="宋体" w:hAnsi="宋体" w:eastAsia="宋体" w:cs="宋体"/>
                <w:sz w:val="24"/>
                <w:szCs w:val="24"/>
              </w:rPr>
              <w:t>北京神州绿盟科技</w:t>
            </w:r>
            <w:r>
              <w:rPr>
                <w:rFonts w:hint="default" w:ascii="宋体" w:hAnsi="宋体" w:eastAsia="宋体" w:cs="宋体"/>
                <w:sz w:val="24"/>
                <w:szCs w:val="24"/>
              </w:rPr>
              <w:t>有限公司</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139500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139500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工业控制安全审计系统平台</w:t>
            </w:r>
          </w:p>
        </w:tc>
        <w:tc>
          <w:tcPr>
            <w:tcW w:w="1980"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绿盟工控安全审计系统V5.6(SAS-ICSNX3-310A)</w:t>
            </w:r>
          </w:p>
        </w:tc>
        <w:tc>
          <w:tcPr>
            <w:tcW w:w="2588" w:type="dxa"/>
            <w:vAlign w:val="center"/>
          </w:tcPr>
          <w:p>
            <w:pPr>
              <w:spacing w:line="300" w:lineRule="exact"/>
              <w:ind w:firstLine="210"/>
              <w:jc w:val="center"/>
              <w:rPr>
                <w:rFonts w:hint="eastAsia" w:ascii="宋体" w:hAnsi="宋体" w:eastAsia="宋体" w:cs="宋体"/>
                <w:sz w:val="24"/>
                <w:szCs w:val="24"/>
              </w:rPr>
            </w:pPr>
            <w:r>
              <w:rPr>
                <w:rFonts w:hint="eastAsia" w:ascii="宋体" w:hAnsi="宋体" w:eastAsia="宋体" w:cs="宋体"/>
                <w:sz w:val="24"/>
                <w:szCs w:val="24"/>
              </w:rPr>
              <w:t>北京神州绿盟科技</w:t>
            </w:r>
            <w:r>
              <w:rPr>
                <w:rFonts w:hint="default" w:ascii="宋体" w:hAnsi="宋体" w:eastAsia="宋体" w:cs="宋体"/>
                <w:sz w:val="24"/>
                <w:szCs w:val="24"/>
              </w:rPr>
              <w:t>有限公司</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168000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168000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工业安全检测防御平台</w:t>
            </w:r>
          </w:p>
        </w:tc>
        <w:tc>
          <w:tcPr>
            <w:tcW w:w="1980"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绿盟工控入侵检测系统V5.6(IDS-ICSNX3-N1010A)</w:t>
            </w:r>
          </w:p>
        </w:tc>
        <w:tc>
          <w:tcPr>
            <w:tcW w:w="2588" w:type="dxa"/>
            <w:vAlign w:val="center"/>
          </w:tcPr>
          <w:p>
            <w:pPr>
              <w:spacing w:line="300" w:lineRule="exact"/>
              <w:ind w:firstLine="210"/>
              <w:jc w:val="center"/>
              <w:rPr>
                <w:rFonts w:hint="eastAsia" w:ascii="宋体" w:hAnsi="宋体" w:eastAsia="宋体" w:cs="宋体"/>
                <w:sz w:val="24"/>
                <w:szCs w:val="24"/>
              </w:rPr>
            </w:pPr>
            <w:r>
              <w:rPr>
                <w:rFonts w:hint="eastAsia" w:ascii="宋体" w:hAnsi="宋体" w:eastAsia="宋体" w:cs="宋体"/>
                <w:sz w:val="24"/>
                <w:szCs w:val="24"/>
              </w:rPr>
              <w:t>北京神州绿盟科技</w:t>
            </w:r>
            <w:r>
              <w:rPr>
                <w:rFonts w:hint="default" w:ascii="宋体" w:hAnsi="宋体" w:eastAsia="宋体" w:cs="宋体"/>
                <w:sz w:val="24"/>
                <w:szCs w:val="24"/>
              </w:rPr>
              <w:t>有限公司</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165000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165000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工业安全漏洞挖掘与分析平台</w:t>
            </w:r>
          </w:p>
        </w:tc>
        <w:tc>
          <w:tcPr>
            <w:tcW w:w="1980"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绿盟工控漏洞扫描系统 V6.0(ICSSCAN NX3-S)</w:t>
            </w:r>
          </w:p>
        </w:tc>
        <w:tc>
          <w:tcPr>
            <w:tcW w:w="2588" w:type="dxa"/>
            <w:vAlign w:val="center"/>
          </w:tcPr>
          <w:p>
            <w:pPr>
              <w:spacing w:line="300" w:lineRule="exact"/>
              <w:ind w:firstLine="210"/>
              <w:jc w:val="center"/>
              <w:rPr>
                <w:rFonts w:hint="eastAsia" w:ascii="宋体" w:hAnsi="宋体" w:eastAsia="宋体" w:cs="宋体"/>
                <w:sz w:val="24"/>
                <w:szCs w:val="24"/>
              </w:rPr>
            </w:pPr>
            <w:r>
              <w:rPr>
                <w:rFonts w:hint="eastAsia" w:ascii="宋体" w:hAnsi="宋体" w:eastAsia="宋体" w:cs="宋体"/>
                <w:sz w:val="24"/>
                <w:szCs w:val="24"/>
              </w:rPr>
              <w:t>北京神州绿盟科技</w:t>
            </w:r>
            <w:r>
              <w:rPr>
                <w:rFonts w:hint="default" w:ascii="宋体" w:hAnsi="宋体" w:eastAsia="宋体" w:cs="宋体"/>
                <w:sz w:val="24"/>
                <w:szCs w:val="24"/>
              </w:rPr>
              <w:t>有限公司</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298000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298000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工业控制主机</w:t>
            </w:r>
          </w:p>
        </w:tc>
        <w:tc>
          <w:tcPr>
            <w:tcW w:w="19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戴尔</w:t>
            </w:r>
            <w:r>
              <w:rPr>
                <w:rFonts w:hint="eastAsia" w:ascii="宋体" w:hAnsi="宋体" w:eastAsia="宋体" w:cs="宋体"/>
                <w:sz w:val="24"/>
                <w:szCs w:val="24"/>
              </w:rPr>
              <w:t>PowerVault ML6010</w:t>
            </w:r>
          </w:p>
        </w:tc>
        <w:tc>
          <w:tcPr>
            <w:tcW w:w="2588" w:type="dxa"/>
            <w:vAlign w:val="center"/>
          </w:tcPr>
          <w:p>
            <w:pPr>
              <w:spacing w:line="300" w:lineRule="exact"/>
              <w:ind w:firstLine="21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戴尔（中国）有限公司</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5500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22000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工业控制软件</w:t>
            </w:r>
          </w:p>
        </w:tc>
        <w:tc>
          <w:tcPr>
            <w:tcW w:w="1980" w:type="dxa"/>
            <w:vAlign w:val="center"/>
          </w:tcPr>
          <w:p>
            <w:pPr>
              <w:spacing w:line="300" w:lineRule="exact"/>
              <w:ind w:firstLine="210"/>
              <w:jc w:val="center"/>
              <w:rPr>
                <w:rFonts w:hint="eastAsia" w:ascii="宋体" w:hAnsi="宋体" w:eastAsia="宋体" w:cs="宋体"/>
                <w:sz w:val="24"/>
                <w:szCs w:val="24"/>
              </w:rPr>
            </w:pPr>
            <w:r>
              <w:rPr>
                <w:rFonts w:hint="eastAsia" w:ascii="宋体" w:hAnsi="宋体" w:eastAsia="宋体" w:cs="宋体"/>
                <w:b w:val="0"/>
                <w:bCs/>
                <w:color w:val="000000"/>
                <w:sz w:val="24"/>
                <w:szCs w:val="24"/>
              </w:rPr>
              <w:t>亚控Kingscada 353</w:t>
            </w:r>
          </w:p>
        </w:tc>
        <w:tc>
          <w:tcPr>
            <w:tcW w:w="2588" w:type="dxa"/>
            <w:vAlign w:val="center"/>
          </w:tcPr>
          <w:p>
            <w:pPr>
              <w:spacing w:line="300" w:lineRule="exact"/>
              <w:ind w:firstLine="210"/>
              <w:jc w:val="center"/>
              <w:rPr>
                <w:rFonts w:hint="eastAsia" w:ascii="宋体" w:hAnsi="宋体" w:eastAsia="宋体" w:cs="宋体"/>
                <w:sz w:val="24"/>
                <w:szCs w:val="24"/>
              </w:rPr>
            </w:pPr>
            <w:r>
              <w:rPr>
                <w:rFonts w:hint="eastAsia" w:ascii="宋体" w:hAnsi="宋体" w:eastAsia="宋体" w:cs="宋体"/>
                <w:sz w:val="24"/>
                <w:szCs w:val="24"/>
              </w:rPr>
              <w:t>北京</w:t>
            </w:r>
            <w:r>
              <w:rPr>
                <w:rFonts w:hint="default" w:ascii="宋体" w:hAnsi="宋体" w:eastAsia="宋体" w:cs="宋体"/>
                <w:sz w:val="24"/>
                <w:szCs w:val="24"/>
              </w:rPr>
              <w:t>亚控科技发展有限公司</w:t>
            </w:r>
          </w:p>
        </w:tc>
        <w:tc>
          <w:tcPr>
            <w:tcW w:w="1314" w:type="dxa"/>
            <w:vAlign w:val="center"/>
          </w:tcPr>
          <w:p>
            <w:pPr>
              <w:spacing w:line="300" w:lineRule="exact"/>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45000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90000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智能化仪表</w:t>
            </w:r>
          </w:p>
        </w:tc>
        <w:tc>
          <w:tcPr>
            <w:tcW w:w="1980" w:type="dxa"/>
            <w:vAlign w:val="center"/>
          </w:tcPr>
          <w:p>
            <w:pPr>
              <w:spacing w:line="300" w:lineRule="exact"/>
              <w:ind w:firstLine="210"/>
              <w:jc w:val="center"/>
              <w:rPr>
                <w:rFonts w:hint="eastAsia" w:ascii="宋体" w:hAnsi="宋体" w:eastAsia="宋体" w:cs="宋体"/>
                <w:b w:val="0"/>
                <w:bCs/>
                <w:sz w:val="24"/>
                <w:szCs w:val="24"/>
              </w:rPr>
            </w:pPr>
            <w:r>
              <w:rPr>
                <w:rFonts w:hint="eastAsia" w:ascii="宋体" w:hAnsi="宋体" w:eastAsia="宋体" w:cs="宋体"/>
                <w:b w:val="0"/>
                <w:bCs/>
                <w:sz w:val="24"/>
                <w:szCs w:val="24"/>
              </w:rPr>
              <w:t>安东电子（ANTHONE）LU-DU53</w:t>
            </w:r>
          </w:p>
        </w:tc>
        <w:tc>
          <w:tcPr>
            <w:tcW w:w="2588" w:type="dxa"/>
            <w:vAlign w:val="center"/>
          </w:tcPr>
          <w:p>
            <w:pPr>
              <w:spacing w:line="300" w:lineRule="exact"/>
              <w:ind w:firstLine="210"/>
              <w:jc w:val="center"/>
              <w:rPr>
                <w:rFonts w:hint="eastAsia" w:ascii="宋体" w:hAnsi="宋体" w:eastAsia="宋体" w:cs="宋体"/>
                <w:sz w:val="24"/>
                <w:szCs w:val="24"/>
              </w:rPr>
            </w:pPr>
            <w:r>
              <w:rPr>
                <w:rFonts w:hint="eastAsia" w:ascii="宋体" w:hAnsi="宋体" w:eastAsia="宋体" w:cs="宋体"/>
                <w:sz w:val="24"/>
                <w:szCs w:val="24"/>
              </w:rPr>
              <w:t>厦门安东电子有限公司</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8台</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7500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60000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工业控制设备安全防护系统</w:t>
            </w:r>
          </w:p>
        </w:tc>
        <w:tc>
          <w:tcPr>
            <w:tcW w:w="1980" w:type="dxa"/>
            <w:vAlign w:val="center"/>
          </w:tcPr>
          <w:p>
            <w:pPr>
              <w:spacing w:line="300" w:lineRule="exact"/>
              <w:ind w:firstLine="210"/>
              <w:jc w:val="center"/>
              <w:rPr>
                <w:rFonts w:hint="eastAsia" w:ascii="宋体" w:hAnsi="宋体" w:eastAsia="宋体" w:cs="宋体"/>
                <w:b w:val="0"/>
                <w:bCs/>
                <w:sz w:val="24"/>
                <w:szCs w:val="24"/>
              </w:rPr>
            </w:pPr>
            <w:r>
              <w:rPr>
                <w:rFonts w:hint="eastAsia" w:ascii="宋体" w:hAnsi="宋体" w:eastAsia="宋体" w:cs="宋体"/>
                <w:b w:val="0"/>
                <w:bCs/>
                <w:color w:val="000000"/>
                <w:sz w:val="24"/>
                <w:szCs w:val="24"/>
              </w:rPr>
              <w:t>深信服终端检测响应平台系统</w:t>
            </w:r>
          </w:p>
        </w:tc>
        <w:tc>
          <w:tcPr>
            <w:tcW w:w="2588" w:type="dxa"/>
            <w:vAlign w:val="center"/>
          </w:tcPr>
          <w:p>
            <w:pPr>
              <w:spacing w:line="300" w:lineRule="exact"/>
              <w:ind w:firstLine="210"/>
              <w:jc w:val="center"/>
              <w:rPr>
                <w:rFonts w:hint="eastAsia" w:ascii="宋体" w:hAnsi="宋体" w:eastAsia="宋体" w:cs="宋体"/>
                <w:sz w:val="24"/>
                <w:szCs w:val="24"/>
              </w:rPr>
            </w:pPr>
            <w:r>
              <w:rPr>
                <w:rFonts w:hint="eastAsia" w:ascii="宋体" w:hAnsi="宋体" w:eastAsia="宋体" w:cs="宋体"/>
                <w:sz w:val="24"/>
                <w:szCs w:val="24"/>
              </w:rPr>
              <w:t>深信服科技股份有限公司 </w:t>
            </w:r>
          </w:p>
        </w:tc>
        <w:tc>
          <w:tcPr>
            <w:tcW w:w="1314" w:type="dxa"/>
            <w:vAlign w:val="center"/>
          </w:tcPr>
          <w:p>
            <w:pPr>
              <w:spacing w:line="300" w:lineRule="exact"/>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17000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17000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实验室管理系统平台</w:t>
            </w:r>
          </w:p>
        </w:tc>
        <w:tc>
          <w:tcPr>
            <w:tcW w:w="1980" w:type="dxa"/>
            <w:vAlign w:val="center"/>
          </w:tcPr>
          <w:p>
            <w:pPr>
              <w:bidi w:val="0"/>
              <w:jc w:val="center"/>
              <w:rPr>
                <w:rFonts w:hint="eastAsia" w:ascii="宋体" w:hAnsi="宋体" w:eastAsia="宋体" w:cs="宋体"/>
                <w:b/>
                <w:sz w:val="24"/>
                <w:szCs w:val="24"/>
              </w:rPr>
            </w:pPr>
            <w:r>
              <w:rPr>
                <w:rFonts w:hint="eastAsia" w:ascii="宋体" w:hAnsi="宋体" w:eastAsia="宋体" w:cs="宋体"/>
                <w:sz w:val="24"/>
                <w:szCs w:val="24"/>
              </w:rPr>
              <w:t>噢易机房OSS系统V5.0</w:t>
            </w:r>
          </w:p>
        </w:tc>
        <w:tc>
          <w:tcPr>
            <w:tcW w:w="2588" w:type="dxa"/>
            <w:vAlign w:val="center"/>
          </w:tcPr>
          <w:p>
            <w:pPr>
              <w:spacing w:line="300" w:lineRule="exact"/>
              <w:ind w:firstLine="210"/>
              <w:jc w:val="center"/>
              <w:rPr>
                <w:rFonts w:hint="eastAsia" w:ascii="宋体" w:hAnsi="宋体" w:eastAsia="宋体" w:cs="宋体"/>
                <w:sz w:val="24"/>
                <w:szCs w:val="24"/>
              </w:rPr>
            </w:pPr>
            <w:r>
              <w:rPr>
                <w:rFonts w:hint="eastAsia" w:ascii="宋体" w:hAnsi="宋体" w:eastAsia="宋体" w:cs="宋体"/>
                <w:sz w:val="24"/>
                <w:szCs w:val="24"/>
              </w:rPr>
              <w:t>武汉</w:t>
            </w:r>
            <w:r>
              <w:rPr>
                <w:rFonts w:hint="default" w:ascii="宋体" w:hAnsi="宋体" w:eastAsia="宋体" w:cs="宋体"/>
                <w:sz w:val="24"/>
                <w:szCs w:val="24"/>
              </w:rPr>
              <w:t>噢易云计算股份有限公司</w:t>
            </w:r>
          </w:p>
        </w:tc>
        <w:tc>
          <w:tcPr>
            <w:tcW w:w="1314" w:type="dxa"/>
            <w:vAlign w:val="center"/>
          </w:tcPr>
          <w:p>
            <w:pPr>
              <w:spacing w:line="300" w:lineRule="exact"/>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15000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15000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镜像交换机</w:t>
            </w:r>
          </w:p>
        </w:tc>
        <w:tc>
          <w:tcPr>
            <w:tcW w:w="1980" w:type="dxa"/>
            <w:vAlign w:val="center"/>
          </w:tcPr>
          <w:p>
            <w:pPr>
              <w:bidi w:val="0"/>
              <w:jc w:val="center"/>
              <w:rPr>
                <w:rFonts w:hint="eastAsia" w:ascii="宋体" w:hAnsi="宋体" w:eastAsia="宋体" w:cs="宋体"/>
                <w:b/>
                <w:sz w:val="24"/>
                <w:szCs w:val="24"/>
              </w:rPr>
            </w:pPr>
            <w:r>
              <w:rPr>
                <w:rFonts w:hint="eastAsia" w:ascii="宋体" w:hAnsi="宋体" w:eastAsia="宋体" w:cs="宋体"/>
                <w:sz w:val="24"/>
                <w:szCs w:val="24"/>
              </w:rPr>
              <w:t>华三 S5120V2-28P-SI</w:t>
            </w:r>
          </w:p>
        </w:tc>
        <w:tc>
          <w:tcPr>
            <w:tcW w:w="2588" w:type="dxa"/>
            <w:vAlign w:val="center"/>
          </w:tcPr>
          <w:p>
            <w:pPr>
              <w:spacing w:line="300" w:lineRule="exact"/>
              <w:ind w:firstLine="210"/>
              <w:jc w:val="center"/>
              <w:rPr>
                <w:rFonts w:hint="eastAsia" w:ascii="宋体" w:hAnsi="宋体" w:eastAsia="宋体" w:cs="宋体"/>
                <w:sz w:val="24"/>
                <w:szCs w:val="24"/>
              </w:rPr>
            </w:pPr>
            <w:r>
              <w:rPr>
                <w:rFonts w:hint="eastAsia" w:ascii="宋体" w:hAnsi="宋体" w:eastAsia="宋体" w:cs="宋体"/>
                <w:sz w:val="24"/>
                <w:szCs w:val="24"/>
              </w:rPr>
              <w:t>新华三</w:t>
            </w:r>
            <w:r>
              <w:rPr>
                <w:rFonts w:hint="default" w:ascii="宋体" w:hAnsi="宋体" w:eastAsia="宋体" w:cs="宋体"/>
                <w:sz w:val="24"/>
                <w:szCs w:val="24"/>
              </w:rPr>
              <w:t>技术有限公司</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2台</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8500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17000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科研实验配套课题</w:t>
            </w:r>
          </w:p>
        </w:tc>
        <w:tc>
          <w:tcPr>
            <w:tcW w:w="1980" w:type="dxa"/>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b w:val="0"/>
                <w:bCs/>
                <w:sz w:val="24"/>
                <w:szCs w:val="24"/>
              </w:rPr>
              <w:t>绿盟定制</w:t>
            </w:r>
          </w:p>
        </w:tc>
        <w:tc>
          <w:tcPr>
            <w:tcW w:w="2588" w:type="dxa"/>
            <w:vAlign w:val="center"/>
          </w:tcPr>
          <w:p>
            <w:pPr>
              <w:spacing w:line="300" w:lineRule="exact"/>
              <w:ind w:firstLine="210"/>
              <w:jc w:val="center"/>
              <w:rPr>
                <w:rFonts w:hint="eastAsia" w:ascii="宋体" w:hAnsi="宋体" w:eastAsia="宋体" w:cs="宋体"/>
                <w:sz w:val="24"/>
                <w:szCs w:val="24"/>
              </w:rPr>
            </w:pPr>
            <w:r>
              <w:rPr>
                <w:rFonts w:hint="eastAsia" w:ascii="宋体" w:hAnsi="宋体" w:eastAsia="宋体" w:cs="宋体"/>
                <w:sz w:val="24"/>
                <w:szCs w:val="24"/>
              </w:rPr>
              <w:t>北京神州绿盟科技</w:t>
            </w:r>
            <w:r>
              <w:rPr>
                <w:rFonts w:hint="default" w:ascii="宋体" w:hAnsi="宋体" w:eastAsia="宋体" w:cs="宋体"/>
                <w:sz w:val="24"/>
                <w:szCs w:val="24"/>
              </w:rPr>
              <w:t>有限公司</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控制显示大屏</w:t>
            </w:r>
          </w:p>
        </w:tc>
        <w:tc>
          <w:tcPr>
            <w:tcW w:w="1980" w:type="dxa"/>
            <w:vAlign w:val="center"/>
          </w:tcPr>
          <w:p>
            <w:pPr>
              <w:spacing w:line="300" w:lineRule="exact"/>
              <w:ind w:firstLine="210"/>
              <w:jc w:val="center"/>
              <w:rPr>
                <w:rFonts w:hint="eastAsia" w:ascii="宋体" w:hAnsi="宋体" w:eastAsia="宋体" w:cs="宋体"/>
                <w:b/>
                <w:sz w:val="24"/>
                <w:szCs w:val="24"/>
              </w:rPr>
            </w:pPr>
            <w:r>
              <w:rPr>
                <w:rFonts w:hint="eastAsia" w:ascii="宋体" w:hAnsi="宋体" w:eastAsia="宋体" w:cs="宋体"/>
                <w:b w:val="0"/>
                <w:bCs/>
                <w:color w:val="000000"/>
                <w:sz w:val="24"/>
                <w:szCs w:val="24"/>
              </w:rPr>
              <w:t>蓝普科技P2.5</w:t>
            </w:r>
          </w:p>
        </w:tc>
        <w:tc>
          <w:tcPr>
            <w:tcW w:w="2588" w:type="dxa"/>
            <w:vAlign w:val="center"/>
          </w:tcPr>
          <w:p>
            <w:pPr>
              <w:spacing w:line="300" w:lineRule="exact"/>
              <w:ind w:firstLine="21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深圳</w:t>
            </w:r>
            <w:r>
              <w:rPr>
                <w:rFonts w:hint="eastAsia" w:ascii="宋体" w:hAnsi="宋体" w:eastAsia="宋体" w:cs="宋体"/>
                <w:b w:val="0"/>
                <w:bCs/>
                <w:color w:val="000000"/>
                <w:sz w:val="24"/>
                <w:szCs w:val="24"/>
              </w:rPr>
              <w:t>蓝普科技</w:t>
            </w:r>
            <w:r>
              <w:rPr>
                <w:rFonts w:hint="eastAsia" w:ascii="宋体" w:hAnsi="宋体" w:eastAsia="宋体" w:cs="宋体"/>
                <w:sz w:val="24"/>
                <w:szCs w:val="24"/>
                <w:lang w:val="en-US" w:eastAsia="zh-CN"/>
              </w:rPr>
              <w:t>有限公司</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45650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45650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实验室配套桌椅</w:t>
            </w:r>
          </w:p>
        </w:tc>
        <w:tc>
          <w:tcPr>
            <w:tcW w:w="1980" w:type="dxa"/>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b w:val="0"/>
                <w:bCs w:val="0"/>
                <w:color w:val="000000"/>
                <w:sz w:val="24"/>
                <w:szCs w:val="24"/>
                <w:lang w:eastAsia="zh-CN"/>
              </w:rPr>
              <w:t>森健办公家具</w:t>
            </w:r>
            <w:r>
              <w:rPr>
                <w:rFonts w:hint="eastAsia" w:ascii="宋体" w:hAnsi="宋体" w:eastAsia="宋体" w:cs="宋体"/>
                <w:b w:val="0"/>
                <w:bCs w:val="0"/>
                <w:color w:val="000000"/>
                <w:sz w:val="24"/>
                <w:szCs w:val="24"/>
              </w:rPr>
              <w:t>定制</w:t>
            </w:r>
          </w:p>
        </w:tc>
        <w:tc>
          <w:tcPr>
            <w:tcW w:w="2588" w:type="dxa"/>
            <w:vAlign w:val="center"/>
          </w:tcPr>
          <w:p>
            <w:pPr>
              <w:spacing w:line="300" w:lineRule="exact"/>
              <w:ind w:firstLine="2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郑州</w:t>
            </w:r>
            <w:r>
              <w:rPr>
                <w:rFonts w:hint="eastAsia" w:ascii="宋体" w:hAnsi="宋体" w:eastAsia="宋体" w:cs="宋体"/>
                <w:b w:val="0"/>
                <w:bCs w:val="0"/>
                <w:color w:val="000000"/>
                <w:sz w:val="24"/>
                <w:szCs w:val="24"/>
                <w:lang w:eastAsia="zh-CN"/>
              </w:rPr>
              <w:t>森健办公家具</w:t>
            </w:r>
            <w:r>
              <w:rPr>
                <w:rFonts w:hint="eastAsia" w:ascii="宋体" w:hAnsi="宋体" w:eastAsia="宋体" w:cs="宋体"/>
                <w:b w:val="0"/>
                <w:bCs w:val="0"/>
                <w:color w:val="000000"/>
                <w:sz w:val="24"/>
                <w:szCs w:val="24"/>
                <w:lang w:val="en-US" w:eastAsia="zh-CN"/>
              </w:rPr>
              <w:t>厂</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45个</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950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42750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20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教师桌椅</w:t>
            </w:r>
          </w:p>
        </w:tc>
        <w:tc>
          <w:tcPr>
            <w:tcW w:w="1980" w:type="dxa"/>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b w:val="0"/>
                <w:bCs w:val="0"/>
                <w:color w:val="000000"/>
                <w:sz w:val="24"/>
                <w:szCs w:val="24"/>
                <w:lang w:eastAsia="zh-CN"/>
              </w:rPr>
              <w:t>森健办公家具</w:t>
            </w:r>
            <w:r>
              <w:rPr>
                <w:rFonts w:hint="eastAsia" w:ascii="宋体" w:hAnsi="宋体" w:eastAsia="宋体" w:cs="宋体"/>
                <w:b w:val="0"/>
                <w:bCs w:val="0"/>
                <w:color w:val="000000"/>
                <w:sz w:val="24"/>
                <w:szCs w:val="24"/>
              </w:rPr>
              <w:t>定制</w:t>
            </w:r>
          </w:p>
        </w:tc>
        <w:tc>
          <w:tcPr>
            <w:tcW w:w="2588" w:type="dxa"/>
            <w:vAlign w:val="center"/>
          </w:tcPr>
          <w:p>
            <w:pPr>
              <w:spacing w:line="300" w:lineRule="exact"/>
              <w:ind w:firstLine="2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郑州森健办公家具厂</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3000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3000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电气设备柜子</w:t>
            </w:r>
          </w:p>
        </w:tc>
        <w:tc>
          <w:tcPr>
            <w:tcW w:w="1980" w:type="dxa"/>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b w:val="0"/>
                <w:bCs/>
                <w:sz w:val="24"/>
                <w:szCs w:val="24"/>
              </w:rPr>
              <w:t>迈控电气柜 FZ2800</w:t>
            </w:r>
          </w:p>
        </w:tc>
        <w:tc>
          <w:tcPr>
            <w:tcW w:w="2588" w:type="dxa"/>
            <w:vAlign w:val="center"/>
          </w:tcPr>
          <w:p>
            <w:pPr>
              <w:spacing w:line="300" w:lineRule="exact"/>
              <w:ind w:firstLine="210"/>
              <w:jc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"http://www.baidu.com/link?url=Hvoj1QjO8K5-st4iBSwQKGnM2d32Rh0Y6_RV8FJUsoyKbpVyMm04ckeqF2fl0srN" \t "https://www.baidu.com/_blank" </w:instrText>
            </w:r>
            <w:r>
              <w:rPr>
                <w:rFonts w:hint="default" w:ascii="宋体" w:hAnsi="宋体" w:eastAsia="宋体" w:cs="宋体"/>
                <w:sz w:val="24"/>
                <w:szCs w:val="24"/>
                <w:lang w:val="en-US" w:eastAsia="zh-CN"/>
              </w:rPr>
              <w:fldChar w:fldCharType="separate"/>
            </w:r>
            <w:r>
              <w:rPr>
                <w:rFonts w:hint="default" w:ascii="宋体" w:hAnsi="宋体" w:eastAsia="宋体" w:cs="宋体"/>
                <w:sz w:val="24"/>
                <w:szCs w:val="24"/>
                <w:lang w:val="en-US" w:eastAsia="zh-CN"/>
              </w:rPr>
              <w:t>江西迈控电气有限公司</w:t>
            </w:r>
            <w:r>
              <w:rPr>
                <w:rFonts w:hint="default" w:ascii="宋体" w:hAnsi="宋体" w:eastAsia="宋体" w:cs="宋体"/>
                <w:sz w:val="24"/>
                <w:szCs w:val="24"/>
                <w:lang w:val="en-US" w:eastAsia="zh-CN"/>
              </w:rPr>
              <w:fldChar w:fldCharType="end"/>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3500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3500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多媒体功放音响设备</w:t>
            </w:r>
          </w:p>
        </w:tc>
        <w:tc>
          <w:tcPr>
            <w:tcW w:w="1980" w:type="dxa"/>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b w:val="0"/>
                <w:bCs/>
                <w:color w:val="000000"/>
                <w:sz w:val="24"/>
                <w:szCs w:val="24"/>
              </w:rPr>
              <w:t>索爱SA-8008</w:t>
            </w:r>
          </w:p>
        </w:tc>
        <w:tc>
          <w:tcPr>
            <w:tcW w:w="2588" w:type="dxa"/>
            <w:vAlign w:val="center"/>
          </w:tcPr>
          <w:p>
            <w:pPr>
              <w:spacing w:line="300" w:lineRule="exact"/>
              <w:ind w:firstLine="21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广州索爱数码科技有限公司</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1套</w:t>
            </w:r>
          </w:p>
        </w:tc>
        <w:tc>
          <w:tcPr>
            <w:tcW w:w="1359"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7500</w:t>
            </w:r>
          </w:p>
        </w:tc>
        <w:tc>
          <w:tcPr>
            <w:tcW w:w="1434" w:type="dxa"/>
            <w:vAlign w:val="center"/>
          </w:tcPr>
          <w:p>
            <w:pPr>
              <w:spacing w:line="360" w:lineRule="auto"/>
              <w:jc w:val="center"/>
              <w:textAlignment w:val="top"/>
              <w:rPr>
                <w:rFonts w:hint="eastAsia" w:ascii="宋体" w:hAnsi="宋体" w:eastAsia="宋体" w:cs="宋体"/>
                <w:sz w:val="24"/>
                <w:szCs w:val="24"/>
              </w:rPr>
            </w:pPr>
            <w:r>
              <w:rPr>
                <w:rFonts w:hint="eastAsia" w:ascii="宋体" w:hAnsi="宋体" w:eastAsia="宋体" w:cs="宋体"/>
                <w:sz w:val="24"/>
                <w:szCs w:val="24"/>
              </w:rPr>
              <w:t>7500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实验室综合布线</w:t>
            </w:r>
          </w:p>
        </w:tc>
        <w:tc>
          <w:tcPr>
            <w:tcW w:w="1980" w:type="dxa"/>
            <w:vAlign w:val="center"/>
          </w:tcPr>
          <w:p>
            <w:pPr>
              <w:spacing w:line="3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锋恩定制</w:t>
            </w:r>
          </w:p>
        </w:tc>
        <w:tc>
          <w:tcPr>
            <w:tcW w:w="2588" w:type="dxa"/>
            <w:vAlign w:val="center"/>
          </w:tcPr>
          <w:p>
            <w:pPr>
              <w:spacing w:line="300" w:lineRule="exact"/>
              <w:ind w:firstLine="21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河南锋恩电气有限公司</w:t>
            </w:r>
          </w:p>
        </w:tc>
        <w:tc>
          <w:tcPr>
            <w:tcW w:w="1314"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1套</w:t>
            </w:r>
          </w:p>
        </w:tc>
        <w:tc>
          <w:tcPr>
            <w:tcW w:w="135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23000</w:t>
            </w:r>
          </w:p>
        </w:tc>
        <w:tc>
          <w:tcPr>
            <w:tcW w:w="143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23000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31"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2025"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实验室配套环境建设</w:t>
            </w:r>
          </w:p>
        </w:tc>
        <w:tc>
          <w:tcPr>
            <w:tcW w:w="1980" w:type="dxa"/>
            <w:vAlign w:val="center"/>
          </w:tcPr>
          <w:p>
            <w:pPr>
              <w:spacing w:line="3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锋恩定制</w:t>
            </w:r>
          </w:p>
        </w:tc>
        <w:tc>
          <w:tcPr>
            <w:tcW w:w="2588" w:type="dxa"/>
            <w:vAlign w:val="center"/>
          </w:tcPr>
          <w:p>
            <w:pPr>
              <w:spacing w:line="300" w:lineRule="exact"/>
              <w:ind w:firstLine="2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河南锋恩电气有限公司</w:t>
            </w:r>
          </w:p>
        </w:tc>
        <w:tc>
          <w:tcPr>
            <w:tcW w:w="1314" w:type="dxa"/>
            <w:vAlign w:val="center"/>
          </w:tcPr>
          <w:p>
            <w:pPr>
              <w:spacing w:line="300" w:lineRule="exact"/>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中国</w:t>
            </w:r>
          </w:p>
        </w:tc>
        <w:tc>
          <w:tcPr>
            <w:tcW w:w="12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135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43500</w:t>
            </w:r>
          </w:p>
        </w:tc>
        <w:tc>
          <w:tcPr>
            <w:tcW w:w="143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43500</w:t>
            </w:r>
          </w:p>
        </w:tc>
        <w:tc>
          <w:tcPr>
            <w:tcW w:w="107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含</w:t>
            </w:r>
            <w:r>
              <w:rPr>
                <w:rFonts w:hint="eastAsia" w:ascii="宋体" w:hAnsi="宋体" w:eastAsia="宋体" w:cs="宋体"/>
                <w:sz w:val="24"/>
                <w:szCs w:val="24"/>
              </w:rPr>
              <w:t>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3737" w:type="dxa"/>
            <w:gridSpan w:val="9"/>
            <w:vAlign w:val="center"/>
          </w:tcPr>
          <w:p>
            <w:pPr>
              <w:tabs>
                <w:tab w:val="left" w:pos="4380"/>
              </w:tabs>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ab/>
            </w:r>
            <w:r>
              <w:rPr>
                <w:rFonts w:hint="eastAsia" w:ascii="宋体" w:hAnsi="宋体" w:eastAsia="宋体" w:cs="宋体"/>
                <w:sz w:val="24"/>
                <w:szCs w:val="24"/>
                <w:lang w:val="en-US" w:eastAsia="zh-CN"/>
              </w:rPr>
              <w:t>合计:大写:壹佰捌拾捌万陆仟玖佰元整，小写：1886900元</w:t>
            </w:r>
          </w:p>
        </w:tc>
      </w:tr>
    </w:tbl>
    <w:p>
      <w:pPr>
        <w:keepNext w:val="0"/>
        <w:keepLines w:val="0"/>
        <w:pageBreakBefore w:val="0"/>
        <w:widowControl w:val="0"/>
        <w:kinsoku/>
        <w:wordWrap/>
        <w:overflowPunct/>
        <w:topLinePunct w:val="0"/>
        <w:autoSpaceDE/>
        <w:autoSpaceDN/>
        <w:bidi w:val="0"/>
        <w:adjustRightInd/>
        <w:snapToGrid/>
        <w:jc w:val="center"/>
        <w:textAlignment w:val="auto"/>
        <w:rPr>
          <w:rFonts w:ascii="宋体"/>
          <w:sz w:val="24"/>
        </w:rPr>
      </w:pPr>
      <w:r>
        <w:rPr>
          <w:rFonts w:hint="eastAsia" w:eastAsia="宋体"/>
          <w:sz w:val="28"/>
          <w:szCs w:val="36"/>
        </w:rPr>
        <w:t xml:space="preserve">      </w:t>
      </w:r>
      <w:r>
        <w:rPr>
          <w:rFonts w:ascii="宋体" w:hAnsi="宋体" w:cs="宋体"/>
          <w:kern w:val="0"/>
          <w:sz w:val="24"/>
        </w:rPr>
        <w:t xml:space="preserve">                    </w:t>
      </w:r>
      <w:r>
        <w:rPr>
          <w:rFonts w:ascii="宋体" w:hAnsi="宋体" w:cs="宋体"/>
          <w:sz w:val="24"/>
        </w:rPr>
        <w:t xml:space="preserve">                        </w:t>
      </w:r>
    </w:p>
    <w:p>
      <w:pPr>
        <w:rPr>
          <w:rFonts w:ascii="宋体"/>
          <w:kern w:val="0"/>
          <w:sz w:val="24"/>
        </w:rPr>
        <w:sectPr>
          <w:pgSz w:w="16838" w:h="11906" w:orient="landscape"/>
          <w:pgMar w:top="1797" w:right="1440" w:bottom="1797" w:left="1440" w:header="851" w:footer="992" w:gutter="0"/>
          <w:pgNumType w:fmt="decimal"/>
          <w:cols w:space="720" w:num="1"/>
          <w:docGrid w:type="linesAndChars" w:linePitch="312" w:charSpace="0"/>
        </w:sectPr>
      </w:pPr>
    </w:p>
    <w:p>
      <w:pPr>
        <w:spacing w:line="360" w:lineRule="auto"/>
        <w:jc w:val="left"/>
        <w:rPr>
          <w:rFonts w:ascii="宋体"/>
          <w:b/>
          <w:bCs/>
          <w:sz w:val="28"/>
          <w:szCs w:val="28"/>
        </w:rPr>
      </w:pPr>
      <w:r>
        <w:rPr>
          <w:rFonts w:hint="eastAsia" w:ascii="宋体" w:hAnsi="宋体" w:cs="宋体"/>
          <w:b/>
          <w:bCs/>
          <w:sz w:val="28"/>
          <w:szCs w:val="28"/>
        </w:rPr>
        <w:t>附</w:t>
      </w:r>
      <w:r>
        <w:rPr>
          <w:rFonts w:ascii="宋体" w:hAnsi="宋体" w:cs="宋体"/>
          <w:b/>
          <w:bCs/>
          <w:sz w:val="28"/>
          <w:szCs w:val="28"/>
        </w:rPr>
        <w:t>2</w:t>
      </w:r>
      <w:r>
        <w:rPr>
          <w:rFonts w:hint="eastAsia" w:ascii="宋体" w:hAnsi="宋体" w:cs="宋体"/>
          <w:b/>
          <w:bCs/>
          <w:sz w:val="28"/>
          <w:szCs w:val="28"/>
        </w:rPr>
        <w:t>：</w:t>
      </w:r>
    </w:p>
    <w:p>
      <w:pPr>
        <w:spacing w:line="360" w:lineRule="auto"/>
        <w:jc w:val="center"/>
        <w:rPr>
          <w:rFonts w:ascii="宋体"/>
          <w:b/>
          <w:bCs/>
          <w:kern w:val="0"/>
          <w:sz w:val="28"/>
          <w:szCs w:val="28"/>
        </w:rPr>
      </w:pPr>
      <w:r>
        <w:rPr>
          <w:rFonts w:hint="eastAsia" w:ascii="宋体" w:hAnsi="宋体" w:cs="宋体"/>
          <w:b/>
          <w:bCs/>
          <w:kern w:val="0"/>
          <w:sz w:val="28"/>
          <w:szCs w:val="28"/>
        </w:rPr>
        <w:t>设备配置清单表</w:t>
      </w:r>
    </w:p>
    <w:tbl>
      <w:tblPr>
        <w:tblStyle w:val="15"/>
        <w:tblW w:w="14258"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380"/>
        <w:gridCol w:w="10468"/>
        <w:gridCol w:w="850"/>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60" w:lineRule="auto"/>
              <w:jc w:val="center"/>
              <w:rPr>
                <w:rFonts w:ascii="宋体" w:cs="宋体"/>
                <w:b/>
                <w:bCs/>
                <w:kern w:val="0"/>
                <w:sz w:val="28"/>
                <w:szCs w:val="28"/>
              </w:rPr>
            </w:pPr>
            <w:r>
              <w:rPr>
                <w:rFonts w:hint="eastAsia" w:ascii="宋体" w:hAnsi="宋体" w:cs="宋体"/>
                <w:b/>
                <w:bCs/>
                <w:kern w:val="0"/>
                <w:sz w:val="28"/>
                <w:szCs w:val="28"/>
              </w:rPr>
              <w:t>序</w:t>
            </w:r>
            <w:r>
              <w:rPr>
                <w:rFonts w:ascii="宋体" w:hAnsi="宋体" w:cs="宋体"/>
                <w:b/>
                <w:bCs/>
                <w:kern w:val="0"/>
                <w:sz w:val="28"/>
                <w:szCs w:val="28"/>
              </w:rPr>
              <w:t xml:space="preserve"> </w:t>
            </w:r>
            <w:r>
              <w:rPr>
                <w:rFonts w:hint="eastAsia" w:ascii="宋体" w:hAnsi="宋体" w:cs="宋体"/>
                <w:b/>
                <w:bCs/>
                <w:kern w:val="0"/>
                <w:sz w:val="28"/>
                <w:szCs w:val="28"/>
              </w:rPr>
              <w:t>号</w:t>
            </w:r>
          </w:p>
        </w:tc>
        <w:tc>
          <w:tcPr>
            <w:tcW w:w="1380" w:type="dxa"/>
            <w:vAlign w:val="center"/>
          </w:tcPr>
          <w:p>
            <w:pPr>
              <w:spacing w:line="360" w:lineRule="auto"/>
              <w:jc w:val="center"/>
              <w:rPr>
                <w:rFonts w:hint="eastAsia" w:ascii="宋体" w:eastAsia="宋体" w:cs="宋体"/>
                <w:b/>
                <w:bCs/>
                <w:kern w:val="0"/>
                <w:sz w:val="28"/>
                <w:szCs w:val="28"/>
                <w:lang w:eastAsia="zh-CN"/>
              </w:rPr>
            </w:pPr>
            <w:r>
              <w:rPr>
                <w:rFonts w:hint="eastAsia" w:ascii="宋体" w:hAnsi="宋体" w:cs="宋体"/>
                <w:b/>
                <w:bCs/>
                <w:kern w:val="0"/>
                <w:sz w:val="28"/>
                <w:szCs w:val="28"/>
                <w:lang w:val="en-US" w:eastAsia="zh-CN"/>
              </w:rPr>
              <w:t>设备名称</w:t>
            </w:r>
          </w:p>
        </w:tc>
        <w:tc>
          <w:tcPr>
            <w:tcW w:w="10468" w:type="dxa"/>
            <w:vAlign w:val="center"/>
          </w:tcPr>
          <w:p>
            <w:pPr>
              <w:spacing w:line="240" w:lineRule="auto"/>
              <w:jc w:val="center"/>
              <w:rPr>
                <w:rFonts w:ascii="宋体" w:cs="宋体"/>
                <w:b/>
                <w:bCs/>
                <w:kern w:val="0"/>
                <w:sz w:val="28"/>
                <w:szCs w:val="28"/>
              </w:rPr>
            </w:pPr>
            <w:r>
              <w:rPr>
                <w:rFonts w:hint="eastAsia" w:ascii="宋体" w:hAnsi="宋体" w:cs="宋体"/>
                <w:b/>
                <w:bCs/>
                <w:kern w:val="0"/>
                <w:sz w:val="28"/>
                <w:szCs w:val="28"/>
              </w:rPr>
              <w:t>具体配置清单描述</w:t>
            </w:r>
          </w:p>
        </w:tc>
        <w:tc>
          <w:tcPr>
            <w:tcW w:w="850" w:type="dxa"/>
            <w:vAlign w:val="center"/>
          </w:tcPr>
          <w:p>
            <w:pPr>
              <w:spacing w:line="360" w:lineRule="auto"/>
              <w:jc w:val="center"/>
              <w:rPr>
                <w:rFonts w:ascii="宋体" w:cs="宋体"/>
                <w:b/>
                <w:bCs/>
                <w:kern w:val="0"/>
                <w:sz w:val="28"/>
                <w:szCs w:val="28"/>
              </w:rPr>
            </w:pPr>
            <w:r>
              <w:rPr>
                <w:rFonts w:hint="eastAsia" w:ascii="宋体" w:hAnsi="宋体" w:cs="宋体"/>
                <w:b/>
                <w:bCs/>
                <w:kern w:val="0"/>
                <w:sz w:val="28"/>
                <w:szCs w:val="28"/>
              </w:rPr>
              <w:t>单</w:t>
            </w:r>
            <w:r>
              <w:rPr>
                <w:rFonts w:ascii="宋体" w:hAnsi="宋体" w:cs="宋体"/>
                <w:b/>
                <w:bCs/>
                <w:kern w:val="0"/>
                <w:sz w:val="28"/>
                <w:szCs w:val="28"/>
              </w:rPr>
              <w:t xml:space="preserve"> </w:t>
            </w:r>
            <w:r>
              <w:rPr>
                <w:rFonts w:hint="eastAsia" w:ascii="宋体" w:hAnsi="宋体" w:cs="宋体"/>
                <w:b/>
                <w:bCs/>
                <w:kern w:val="0"/>
                <w:sz w:val="28"/>
                <w:szCs w:val="28"/>
              </w:rPr>
              <w:t>位</w:t>
            </w:r>
          </w:p>
        </w:tc>
        <w:tc>
          <w:tcPr>
            <w:tcW w:w="862" w:type="dxa"/>
            <w:vAlign w:val="center"/>
          </w:tcPr>
          <w:p>
            <w:pPr>
              <w:spacing w:line="360" w:lineRule="auto"/>
              <w:jc w:val="center"/>
              <w:rPr>
                <w:rFonts w:ascii="宋体" w:hAnsi="宋体" w:cs="宋体"/>
                <w:b/>
                <w:bCs/>
                <w:kern w:val="0"/>
                <w:sz w:val="28"/>
                <w:szCs w:val="28"/>
              </w:rPr>
            </w:pPr>
            <w:r>
              <w:rPr>
                <w:rFonts w:hint="eastAsia" w:ascii="宋体" w:hAnsi="宋体" w:cs="宋体"/>
                <w:b/>
                <w:bCs/>
                <w:kern w:val="0"/>
                <w:sz w:val="28"/>
                <w:szCs w:val="28"/>
              </w:rPr>
              <w:t>数</w:t>
            </w:r>
            <w:r>
              <w:rPr>
                <w:rFonts w:ascii="宋体" w:hAnsi="宋体" w:cs="宋体"/>
                <w:b/>
                <w:bCs/>
                <w:kern w:val="0"/>
                <w:sz w:val="28"/>
                <w:szCs w:val="28"/>
              </w:rPr>
              <w:t xml:space="preserve"> </w:t>
            </w:r>
            <w:r>
              <w:rPr>
                <w:rFonts w:hint="eastAsia" w:ascii="宋体" w:hAnsi="宋体" w:cs="宋体"/>
                <w:b/>
                <w:bCs/>
                <w:kern w:val="0"/>
                <w:sz w:val="28"/>
                <w:szCs w:val="28"/>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rPr>
              <w:t>1</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火力发电智能仿真实验平台</w:t>
            </w:r>
          </w:p>
        </w:tc>
        <w:tc>
          <w:tcPr>
            <w:tcW w:w="10468" w:type="dxa"/>
          </w:tcPr>
          <w:p>
            <w:pPr>
              <w:spacing w:line="240" w:lineRule="auto"/>
              <w:rPr>
                <w:rFonts w:hint="eastAsia" w:ascii="宋体" w:hAnsi="宋体" w:eastAsia="宋体" w:cs="宋体"/>
                <w:b/>
                <w:sz w:val="21"/>
                <w:szCs w:val="21"/>
              </w:rPr>
            </w:pPr>
            <w:r>
              <w:rPr>
                <w:rFonts w:hint="eastAsia" w:ascii="宋体" w:hAnsi="宋体" w:eastAsia="宋体" w:cs="宋体"/>
                <w:b/>
                <w:sz w:val="21"/>
                <w:szCs w:val="21"/>
              </w:rPr>
              <w:t>技术规格如下：</w:t>
            </w:r>
          </w:p>
          <w:p>
            <w:pPr>
              <w:spacing w:line="240" w:lineRule="auto"/>
              <w:rPr>
                <w:rFonts w:hint="eastAsia" w:ascii="宋体" w:hAnsi="宋体" w:eastAsia="宋体" w:cs="宋体"/>
                <w:sz w:val="21"/>
                <w:szCs w:val="21"/>
              </w:rPr>
            </w:pPr>
            <w:r>
              <w:rPr>
                <w:rFonts w:hint="eastAsia" w:ascii="宋体" w:hAnsi="宋体" w:eastAsia="宋体" w:cs="宋体"/>
                <w:sz w:val="21"/>
                <w:szCs w:val="21"/>
              </w:rPr>
              <w:t>1、3套给煤系统：工频控制，带有2个方向的给煤皮带，态为红色常亮灯，并且可单独回路控制反馈，反馈为干接点反馈。</w:t>
            </w:r>
          </w:p>
          <w:p>
            <w:pPr>
              <w:spacing w:line="240" w:lineRule="auto"/>
              <w:rPr>
                <w:rFonts w:hint="eastAsia" w:ascii="宋体" w:hAnsi="宋体" w:eastAsia="宋体" w:cs="宋体"/>
                <w:sz w:val="21"/>
                <w:szCs w:val="21"/>
              </w:rPr>
            </w:pPr>
            <w:r>
              <w:rPr>
                <w:rFonts w:hint="eastAsia" w:ascii="宋体" w:hAnsi="宋体" w:eastAsia="宋体" w:cs="宋体"/>
                <w:sz w:val="21"/>
                <w:szCs w:val="21"/>
              </w:rPr>
              <w:t>2、脱硫：2套脱硫系统，公用一路控制信号，且脱硫联动烟气系统，烟气挡板门和主机单元关联，正常状态为正常淡黄色流水灯，故障为红色灯，单独回路控制，干接点反馈。</w:t>
            </w:r>
          </w:p>
          <w:p>
            <w:pPr>
              <w:spacing w:line="240" w:lineRule="auto"/>
              <w:rPr>
                <w:rFonts w:hint="eastAsia" w:ascii="宋体" w:hAnsi="宋体" w:eastAsia="宋体" w:cs="宋体"/>
                <w:sz w:val="21"/>
                <w:szCs w:val="21"/>
              </w:rPr>
            </w:pPr>
            <w:r>
              <w:rPr>
                <w:rFonts w:hint="eastAsia" w:ascii="宋体" w:hAnsi="宋体" w:eastAsia="宋体" w:cs="宋体"/>
                <w:sz w:val="21"/>
                <w:szCs w:val="21"/>
              </w:rPr>
              <w:t>3、脱硝：2套脱硝统，公用一路控制信号，且脱硝联动脱硫系统，正常状态为正常淡黄色流水灯，故障为红色灯，单独回路控制，干接点反馈。</w:t>
            </w:r>
          </w:p>
          <w:p>
            <w:pPr>
              <w:spacing w:line="240" w:lineRule="auto"/>
              <w:rPr>
                <w:rFonts w:hint="eastAsia" w:ascii="宋体" w:hAnsi="宋体" w:eastAsia="宋体" w:cs="宋体"/>
                <w:sz w:val="21"/>
                <w:szCs w:val="21"/>
              </w:rPr>
            </w:pPr>
            <w:r>
              <w:rPr>
                <w:rFonts w:hint="eastAsia" w:ascii="宋体" w:hAnsi="宋体" w:eastAsia="宋体" w:cs="宋体"/>
                <w:sz w:val="21"/>
                <w:szCs w:val="21"/>
              </w:rPr>
              <w:t>4、两套锅炉：主体锅炉内内置通照灯，保持锅炉淡蓝色颜色，公用一套控制回路，正常为白色流水灯，故障为红色灯，单回路控制，干接点反馈锅炉点燃信号和正常状态信号。</w:t>
            </w:r>
          </w:p>
          <w:p>
            <w:pPr>
              <w:spacing w:line="240" w:lineRule="auto"/>
              <w:rPr>
                <w:rFonts w:hint="eastAsia" w:ascii="宋体" w:hAnsi="宋体" w:eastAsia="宋体" w:cs="宋体"/>
                <w:sz w:val="21"/>
                <w:szCs w:val="21"/>
              </w:rPr>
            </w:pPr>
            <w:r>
              <w:rPr>
                <w:rFonts w:hint="eastAsia" w:ascii="宋体" w:hAnsi="宋体" w:eastAsia="宋体" w:cs="宋体"/>
                <w:sz w:val="21"/>
                <w:szCs w:val="21"/>
              </w:rPr>
              <w:t>5、汽轮机：高逼真汽轮机，采用给定转速控制，切割破面展示汽轮机工作模式，银灰色汽轮主体，淡灰色机壳，单回路控制，干接点反馈，模拟量控制。</w:t>
            </w:r>
          </w:p>
          <w:p>
            <w:pPr>
              <w:spacing w:line="240" w:lineRule="auto"/>
              <w:rPr>
                <w:rFonts w:hint="eastAsia" w:ascii="宋体" w:hAnsi="宋体" w:eastAsia="宋体" w:cs="宋体"/>
                <w:sz w:val="21"/>
                <w:szCs w:val="21"/>
              </w:rPr>
            </w:pPr>
            <w:r>
              <w:rPr>
                <w:rFonts w:hint="eastAsia" w:ascii="宋体" w:hAnsi="宋体" w:eastAsia="宋体" w:cs="宋体"/>
                <w:sz w:val="21"/>
                <w:szCs w:val="21"/>
              </w:rPr>
              <w:t>6、变送电系统：两路母线变送电回路，公用一路控制信号，正常信号为白色流水灯，故障为红色灯，且和汽轮机转速联动关联。</w:t>
            </w:r>
          </w:p>
          <w:p>
            <w:pPr>
              <w:spacing w:line="240" w:lineRule="auto"/>
              <w:rPr>
                <w:rFonts w:hint="eastAsia" w:ascii="宋体" w:hAnsi="宋体" w:eastAsia="宋体" w:cs="宋体"/>
                <w:sz w:val="21"/>
                <w:szCs w:val="21"/>
              </w:rPr>
            </w:pPr>
            <w:r>
              <w:rPr>
                <w:rFonts w:hint="eastAsia" w:ascii="宋体" w:hAnsi="宋体" w:eastAsia="宋体" w:cs="宋体"/>
                <w:sz w:val="21"/>
                <w:szCs w:val="21"/>
              </w:rPr>
              <w:t>7、冷却系统：两套比例缩小冷却塔，顶部使用淡黄色流水灯，设计控制回路，主体采用天蓝色通亮灯，下置交叉网格支架，单回路控制，干接点反馈。</w:t>
            </w:r>
          </w:p>
          <w:p>
            <w:pPr>
              <w:spacing w:line="240" w:lineRule="auto"/>
              <w:rPr>
                <w:rFonts w:hint="eastAsia" w:ascii="宋体" w:hAnsi="宋体" w:eastAsia="宋体" w:cs="宋体"/>
                <w:sz w:val="21"/>
                <w:szCs w:val="21"/>
              </w:rPr>
            </w:pPr>
            <w:r>
              <w:rPr>
                <w:rFonts w:hint="eastAsia" w:ascii="宋体" w:hAnsi="宋体" w:eastAsia="宋体" w:cs="宋体"/>
                <w:sz w:val="21"/>
                <w:szCs w:val="21"/>
              </w:rPr>
              <w:t>8、设计给煤机全停MFT逻辑，可攻击包攻击给煤单元，然后根据内置MFT逻辑逐步停止仿真单元。</w:t>
            </w:r>
          </w:p>
          <w:p>
            <w:pPr>
              <w:spacing w:line="240" w:lineRule="auto"/>
              <w:rPr>
                <w:rFonts w:hint="eastAsia" w:ascii="宋体" w:hAnsi="宋体" w:eastAsia="宋体" w:cs="宋体"/>
                <w:sz w:val="21"/>
                <w:szCs w:val="21"/>
              </w:rPr>
            </w:pPr>
            <w:r>
              <w:rPr>
                <w:rFonts w:hint="eastAsia" w:ascii="宋体" w:hAnsi="宋体" w:eastAsia="宋体" w:cs="宋体"/>
                <w:sz w:val="21"/>
                <w:szCs w:val="21"/>
              </w:rPr>
              <w:t>9、内部结构材料选用ABS。</w:t>
            </w:r>
          </w:p>
          <w:p>
            <w:pPr>
              <w:spacing w:line="240" w:lineRule="auto"/>
              <w:rPr>
                <w:rFonts w:hint="eastAsia" w:ascii="宋体" w:hAnsi="宋体" w:eastAsia="宋体" w:cs="宋体"/>
                <w:b/>
                <w:bCs/>
                <w:kern w:val="0"/>
                <w:sz w:val="21"/>
                <w:szCs w:val="21"/>
              </w:rPr>
            </w:pPr>
            <w:r>
              <w:rPr>
                <w:rFonts w:hint="eastAsia" w:ascii="宋体" w:hAnsi="宋体" w:eastAsia="宋体" w:cs="宋体"/>
                <w:sz w:val="21"/>
                <w:szCs w:val="21"/>
              </w:rPr>
              <w:t>10、灯光按照设计和演示功能在各点位预置LED，并且不同单元分为正常运行、故障状态；</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rPr>
              <w:t>2</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风力发电智能仿真实验平台</w:t>
            </w:r>
          </w:p>
        </w:tc>
        <w:tc>
          <w:tcPr>
            <w:tcW w:w="10468"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1、7套风力发电机组：风力发电机组由风轮、传动系统、偏航系统、液压系统、制动系统、发电机、控制与安全系统、机舱、塔架、变频器和基础等组成。每个风机都有一路单独控制回路，风机的正常风轮都有正常绿色指示灯，故障灯为红色，且在正常状态下可旋转，风力发电各个风机单独布置在不同位置，且不同位置有白色流水灯连接到汇聚点，故障为红色静态灯，单回路控制，干接点反馈，且可结合攻击包攻击风电主机单元，实现对风电的安全演示。</w:t>
            </w:r>
          </w:p>
          <w:p>
            <w:pPr>
              <w:spacing w:line="240" w:lineRule="auto"/>
              <w:rPr>
                <w:rFonts w:hint="eastAsia" w:ascii="宋体" w:hAnsi="宋体" w:eastAsia="宋体" w:cs="宋体"/>
                <w:sz w:val="21"/>
                <w:szCs w:val="21"/>
              </w:rPr>
            </w:pPr>
            <w:r>
              <w:rPr>
                <w:rFonts w:hint="eastAsia" w:ascii="宋体" w:hAnsi="宋体" w:eastAsia="宋体" w:cs="宋体"/>
                <w:sz w:val="21"/>
                <w:szCs w:val="21"/>
              </w:rPr>
              <w:t>2、电源汇聚聚电单元：集电(架空)线路、白色流水灯且连接到变电汇聚，单独控制回路，干接点反馈，</w:t>
            </w:r>
          </w:p>
          <w:p>
            <w:pPr>
              <w:spacing w:line="240" w:lineRule="auto"/>
              <w:rPr>
                <w:rFonts w:hint="eastAsia" w:ascii="宋体" w:hAnsi="宋体" w:eastAsia="宋体" w:cs="宋体"/>
                <w:sz w:val="21"/>
                <w:szCs w:val="21"/>
              </w:rPr>
            </w:pPr>
            <w:r>
              <w:rPr>
                <w:rFonts w:hint="eastAsia" w:ascii="宋体" w:hAnsi="宋体" w:eastAsia="宋体" w:cs="宋体"/>
                <w:sz w:val="21"/>
                <w:szCs w:val="21"/>
              </w:rPr>
              <w:t>3、配置变电系统，高压配电装置：配置3路高压配电装置，每个装置上正常状态灯为淡黄色流水灯，故障为红色灯，采用单回路控制，干接点反馈。</w:t>
            </w:r>
          </w:p>
          <w:p>
            <w:pPr>
              <w:spacing w:line="240" w:lineRule="auto"/>
              <w:rPr>
                <w:rFonts w:hint="eastAsia" w:ascii="宋体" w:hAnsi="宋体" w:eastAsia="宋体" w:cs="宋体"/>
                <w:sz w:val="21"/>
                <w:szCs w:val="21"/>
              </w:rPr>
            </w:pPr>
            <w:r>
              <w:rPr>
                <w:rFonts w:hint="eastAsia" w:ascii="宋体" w:hAnsi="宋体" w:eastAsia="宋体" w:cs="宋体"/>
                <w:sz w:val="21"/>
                <w:szCs w:val="21"/>
              </w:rPr>
              <w:t>4、主变构成：两路主变控制，正常为白色流水灯，故障为红色灯，联动高压配电装置，两炉主变采用独立回路控制，干接点反馈。</w:t>
            </w:r>
          </w:p>
          <w:p>
            <w:pPr>
              <w:spacing w:line="240" w:lineRule="auto"/>
              <w:rPr>
                <w:rFonts w:hint="eastAsia" w:ascii="宋体" w:hAnsi="宋体" w:eastAsia="宋体" w:cs="宋体"/>
                <w:b/>
                <w:bCs/>
                <w:kern w:val="0"/>
                <w:sz w:val="21"/>
                <w:szCs w:val="21"/>
              </w:rPr>
            </w:pPr>
            <w:r>
              <w:rPr>
                <w:rFonts w:hint="eastAsia" w:ascii="宋体" w:hAnsi="宋体" w:eastAsia="宋体" w:cs="宋体"/>
                <w:sz w:val="21"/>
                <w:szCs w:val="21"/>
              </w:rPr>
              <w:t>5、主体材质:透明部分为树脂翻模透明展示内部结构及各项功能；</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rPr>
              <w:t>3</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智能电网仿真实验平台</w:t>
            </w:r>
          </w:p>
        </w:tc>
        <w:tc>
          <w:tcPr>
            <w:tcW w:w="10468"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1、110KV：双母线旁路控制仿真，两母线正常状态为白色流水灯，采用两路单回路控制，干接点反馈信号，</w:t>
            </w:r>
          </w:p>
          <w:p>
            <w:pPr>
              <w:spacing w:line="240" w:lineRule="auto"/>
              <w:rPr>
                <w:rFonts w:hint="eastAsia" w:ascii="宋体" w:hAnsi="宋体" w:eastAsia="宋体" w:cs="宋体"/>
                <w:sz w:val="21"/>
                <w:szCs w:val="21"/>
              </w:rPr>
            </w:pPr>
            <w:r>
              <w:rPr>
                <w:rFonts w:hint="eastAsia" w:ascii="宋体" w:hAnsi="宋体" w:eastAsia="宋体" w:cs="宋体"/>
                <w:sz w:val="21"/>
                <w:szCs w:val="21"/>
              </w:rPr>
              <w:t>2、110KV母线：电流仿真、电压仿真、参数可调给定。</w:t>
            </w:r>
          </w:p>
          <w:p>
            <w:pPr>
              <w:spacing w:line="240" w:lineRule="auto"/>
              <w:rPr>
                <w:rFonts w:hint="eastAsia" w:ascii="宋体" w:hAnsi="宋体" w:eastAsia="宋体" w:cs="宋体"/>
                <w:sz w:val="21"/>
                <w:szCs w:val="21"/>
              </w:rPr>
            </w:pPr>
            <w:r>
              <w:rPr>
                <w:rFonts w:hint="eastAsia" w:ascii="宋体" w:hAnsi="宋体" w:eastAsia="宋体" w:cs="宋体"/>
                <w:sz w:val="21"/>
                <w:szCs w:val="21"/>
              </w:rPr>
              <w:t>3、电力采集智能仪表，可上送电压电流信号</w:t>
            </w:r>
          </w:p>
          <w:p>
            <w:pPr>
              <w:spacing w:line="240" w:lineRule="auto"/>
              <w:rPr>
                <w:rFonts w:hint="eastAsia" w:ascii="宋体" w:hAnsi="宋体" w:eastAsia="宋体" w:cs="宋体"/>
                <w:sz w:val="21"/>
                <w:szCs w:val="21"/>
              </w:rPr>
            </w:pPr>
            <w:r>
              <w:rPr>
                <w:rFonts w:hint="eastAsia" w:ascii="宋体" w:hAnsi="宋体" w:eastAsia="宋体" w:cs="宋体"/>
                <w:sz w:val="21"/>
                <w:szCs w:val="21"/>
              </w:rPr>
              <w:t>4、35KV变电站，双母线旁路控制仿真，两母线正常状态为白色流水灯，故障为红色灯，旁路为淡黄色流水灯，采用两路单回路控制，干接点反馈信号。</w:t>
            </w:r>
          </w:p>
          <w:p>
            <w:pPr>
              <w:spacing w:line="240" w:lineRule="auto"/>
              <w:rPr>
                <w:rFonts w:hint="eastAsia" w:ascii="宋体" w:hAnsi="宋体" w:eastAsia="宋体" w:cs="宋体"/>
                <w:sz w:val="21"/>
                <w:szCs w:val="21"/>
              </w:rPr>
            </w:pPr>
            <w:r>
              <w:rPr>
                <w:rFonts w:hint="eastAsia" w:ascii="宋体" w:hAnsi="宋体" w:eastAsia="宋体" w:cs="宋体"/>
                <w:sz w:val="21"/>
                <w:szCs w:val="21"/>
              </w:rPr>
              <w:t>5、联动上位信号，实现对变电站系统的仿真，可实现对电网生产大区服务器的攻击达到攻击仿真功能。</w:t>
            </w:r>
          </w:p>
          <w:p>
            <w:pPr>
              <w:spacing w:line="240" w:lineRule="auto"/>
              <w:rPr>
                <w:rFonts w:hint="eastAsia" w:ascii="宋体" w:hAnsi="宋体" w:eastAsia="宋体" w:cs="宋体"/>
                <w:b/>
                <w:bCs/>
                <w:kern w:val="0"/>
                <w:sz w:val="21"/>
                <w:szCs w:val="21"/>
              </w:rPr>
            </w:pPr>
            <w:r>
              <w:rPr>
                <w:rFonts w:hint="eastAsia" w:ascii="宋体" w:hAnsi="宋体" w:eastAsia="宋体" w:cs="宋体"/>
                <w:sz w:val="21"/>
                <w:szCs w:val="21"/>
              </w:rPr>
              <w:t>6、同时配置多做远程用电单元，可扩展GIS系统</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rPr>
              <w:t>4</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工业仿真控制机</w:t>
            </w:r>
          </w:p>
        </w:tc>
        <w:tc>
          <w:tcPr>
            <w:tcW w:w="10468"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1、电源：18-62.4 V 直流， 1.65 (24 V 直, 3.3 V直流电压， 电源线的最大：8.5W， 电流输入标称 I rmsA rms0.61 (115 V 交流)； 0.31 (240 V 交流)1.04 (115 V 交流)； 0.52 (240 V 交流)在 25°C 的初始启动 (1)V120 交流240 交流120 交流240 交流。</w:t>
            </w:r>
          </w:p>
          <w:p>
            <w:pPr>
              <w:spacing w:line="240" w:lineRule="auto"/>
              <w:rPr>
                <w:rFonts w:hint="eastAsia" w:ascii="宋体" w:hAnsi="宋体" w:eastAsia="宋体" w:cs="宋体"/>
                <w:sz w:val="21"/>
                <w:szCs w:val="21"/>
              </w:rPr>
            </w:pPr>
            <w:r>
              <w:rPr>
                <w:rFonts w:hint="eastAsia" w:ascii="宋体" w:hAnsi="宋体" w:eastAsia="宋体" w:cs="宋体"/>
                <w:sz w:val="21"/>
                <w:szCs w:val="21"/>
              </w:rPr>
              <w:t>2、控制器： 1.024 个离散量 I/O 256 个模拟量 I/O 36 个专用通道集成 4.096 Kb2 个以太网 Modbus/ TCP 网络Modbus 串行链路BMX P34 2000 0.200Modbus 串行链路CANopen 总线BMX P34 201020.210Modbus 串行链路以太网网络BMX P34 2020 0.205以太网网络 CANopen总线，终端端口/USB 电缆组件在 Modicon M340 处理器上的微型B USB 端口PC 终端 Magelis XBT GT/GK 和XBT GTW 图形终端。</w:t>
            </w:r>
          </w:p>
          <w:p>
            <w:pPr>
              <w:spacing w:line="240" w:lineRule="auto"/>
              <w:rPr>
                <w:rFonts w:hint="eastAsia" w:ascii="宋体" w:hAnsi="宋体" w:eastAsia="宋体" w:cs="宋体"/>
                <w:sz w:val="21"/>
                <w:szCs w:val="21"/>
              </w:rPr>
            </w:pPr>
            <w:r>
              <w:rPr>
                <w:rFonts w:hint="eastAsia" w:ascii="宋体" w:hAnsi="宋体" w:eastAsia="宋体" w:cs="宋体"/>
                <w:sz w:val="21"/>
                <w:szCs w:val="21"/>
              </w:rPr>
              <w:t>3、背板：处理器，I/O 模块和专用模块 (计数器、运动控制器和通信)，12卡槽。</w:t>
            </w:r>
          </w:p>
          <w:p>
            <w:pPr>
              <w:spacing w:line="240" w:lineRule="auto"/>
              <w:rPr>
                <w:rFonts w:hint="eastAsia" w:ascii="宋体" w:hAnsi="宋体" w:eastAsia="宋体" w:cs="宋体"/>
                <w:sz w:val="21"/>
                <w:szCs w:val="21"/>
              </w:rPr>
            </w:pPr>
            <w:r>
              <w:rPr>
                <w:rFonts w:hint="eastAsia" w:ascii="宋体" w:hAnsi="宋体" w:eastAsia="宋体" w:cs="宋体"/>
                <w:sz w:val="21"/>
                <w:szCs w:val="21"/>
              </w:rPr>
              <w:t>4、DI模块：通道16 个隔离通道连接通过 BMX FTB 2000/2010/2020 20 针压线式、螺钉式或弹簧式可拆卸端子隔离输入遵从的 IEC/EN 61131-2 标准第 3 类第 1 类第 3 类第 1 类(交流)第 3 类逻辑PositivePositiveNegative–传感器与 IEC/EN 60947-5-2 标准的兼容性2 线直流，3 线直流 PNP，任何类型2 线直流2 线直流/交流，3 线直流 PNP 或 NPN，任何类型。</w:t>
            </w:r>
          </w:p>
          <w:p>
            <w:pPr>
              <w:spacing w:line="240" w:lineRule="auto"/>
              <w:rPr>
                <w:rFonts w:hint="eastAsia" w:ascii="宋体" w:hAnsi="宋体" w:eastAsia="宋体" w:cs="宋体"/>
                <w:sz w:val="21"/>
                <w:szCs w:val="21"/>
              </w:rPr>
            </w:pPr>
            <w:r>
              <w:rPr>
                <w:rFonts w:hint="eastAsia" w:ascii="宋体" w:hAnsi="宋体" w:eastAsia="宋体" w:cs="宋体"/>
                <w:sz w:val="21"/>
                <w:szCs w:val="21"/>
              </w:rPr>
              <w:t>5、DO：弹簧或螺钉式 20 针可拆卸端子块标称输入值电压V交流 24/直流 24交流 48交流 100-120电流mA35频率Hz50/60输入极限值状态 1 时电压Vu 15u 34u 74电流mAu 2u 2.5状态 0 时电压Vy 5y10y20，电流mAy1，频率Hz47-63传感器电源(包括电压波动)V20-2640-5285-132,激活时的峰值电流标称电时mA595240,标称电压F = 55 Hz 时的输入阻抗kΩ6913响应时间 (滤波)滤波ms1510去活ms20符合 IEC/EN 61131-2 标准1 类3 类与二线/三线传感器的兼容性IEC/EN 60947-5-2输入保护每个通道使用一根 0.5A 速断熔丝绝缘电阻MΩ直流 500 V 时 &gt;10介电强度V rms1 分钟内 1,500 - 50/60 Hz (高达 4,000 m)输入类型阻性容性传感器电压的控制阈值正常V&gt; 18&gt; 36&gt; 82故障V&lt; 14&lt; 24&lt; 40可靠性以小时数为单位的MTBFTambient = 30°C时1,504,958耗流量典型值mA 的功率消耗表最大消耗功率W343.8温度降容无可控硅输出模块的特性模块BMX DAO 1605。</w:t>
            </w:r>
          </w:p>
          <w:p>
            <w:pPr>
              <w:spacing w:line="240" w:lineRule="auto"/>
              <w:rPr>
                <w:rFonts w:hint="eastAsia" w:ascii="宋体" w:hAnsi="宋体" w:eastAsia="宋体" w:cs="宋体"/>
                <w:sz w:val="21"/>
                <w:szCs w:val="21"/>
              </w:rPr>
            </w:pPr>
            <w:r>
              <w:rPr>
                <w:rFonts w:hint="eastAsia" w:ascii="宋体" w:hAnsi="宋体" w:eastAsia="宋体" w:cs="宋体"/>
                <w:sz w:val="21"/>
                <w:szCs w:val="21"/>
              </w:rPr>
              <w:t>6、AI模块：与过程对象的物理连接提供模块的过压保护保护电流读数电阻，通过模拟量滤波调整输入信号使用通过光开关控制的静态多路复用扫描输入通道，输入信号的调整：增益选择、漂移补偿转换：24位模数转换器将输入测量值转换为一种用户可操作的测量值：兼顾考虑测量值所用的调准系数、以及模块自动校准系数基于配置参数而定的测量值过滤基于配置参数而定的测量值缩放与应用程序的接口和通信接收模块和通道的配置参数传送测量值、以及模块状态给应用程序模块电源模块监控并将故障指示发送给应用程序：转换电路测试通道量程溢出测试和警戒时钟测。</w:t>
            </w:r>
          </w:p>
          <w:p>
            <w:pPr>
              <w:spacing w:line="240" w:lineRule="auto"/>
              <w:jc w:val="left"/>
              <w:rPr>
                <w:rFonts w:hint="eastAsia" w:ascii="宋体" w:hAnsi="宋体" w:eastAsia="宋体" w:cs="宋体"/>
                <w:b/>
                <w:bCs/>
                <w:kern w:val="0"/>
                <w:sz w:val="21"/>
                <w:szCs w:val="21"/>
              </w:rPr>
            </w:pPr>
            <w:r>
              <w:rPr>
                <w:rFonts w:hint="eastAsia" w:ascii="宋体" w:hAnsi="宋体" w:eastAsia="宋体" w:cs="宋体"/>
                <w:sz w:val="21"/>
                <w:szCs w:val="21"/>
              </w:rPr>
              <w:t>7、AO模块：提供模块过压保护适配输出信号，通过软件配置适配电压或电流提供输出的短路和过载保护使用数据的重新定义转换为带符号的15位将应用程序数值转换为可供数模转换器使用的数据，使用厂方的校准参数应用程序的接口和通信：管理与处理器之间的数据交换划定拓扑地址接收模块和其通道的配置参数向应用程序传送模块状态模块监控和任何应用程序故障指示：输出电源测试通道量程溢出测试输出故障存在测试警戒时钟测试。</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5</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终端工控机</w:t>
            </w:r>
          </w:p>
        </w:tc>
        <w:tc>
          <w:tcPr>
            <w:tcW w:w="10468"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1、包含电源：时钟和电池模块，实时时钟和日历（对于 221/222 CN CPU）一般可备份 200 天，程序传送和备份，数据记录文件，配方文件和通用文件存储24DI / 16D0，6（30 kHz ）支持 A/B 模式，2（20 kHz），AC 或 DC 电源， 可拆卸端子排， 利用 EM 277 可扩展为四个串行端口，2 个模拟设置调整器，自整定 PID 控制器， 实时时钟，运行中编辑模式，诊断 LED，浮点运算128 DI / 128 DO 128 DI / 128 DO，24576 B，32 AI / 28 AO最大 44，16 位分辨率（15 位 +1 符号位）T，S，R，E，N，K，J，TC，100,200,500,1000 ohm Pt100，因特网和内置 Web 服务器；SIWAREX 称重传感器单元；运动；调制解调器串行通讯；AS-Interface；Profi bus-DP 从站；模拟电话；以太网/因特网；GPRS；Modbus 主站/从站，Modbus RTU 主站和 AS-Interface 主站。</w:t>
            </w:r>
          </w:p>
          <w:p>
            <w:pPr>
              <w:spacing w:line="240" w:lineRule="auto"/>
              <w:rPr>
                <w:rFonts w:hint="eastAsia" w:ascii="宋体" w:hAnsi="宋体" w:eastAsia="宋体" w:cs="宋体"/>
                <w:sz w:val="21"/>
                <w:szCs w:val="21"/>
              </w:rPr>
            </w:pPr>
            <w:r>
              <w:rPr>
                <w:rFonts w:hint="eastAsia" w:ascii="宋体" w:hAnsi="宋体" w:eastAsia="宋体" w:cs="宋体"/>
                <w:sz w:val="21"/>
                <w:szCs w:val="21"/>
              </w:rPr>
              <w:t>2、DO模块：46 x 80 x 62，2W，40mA，接通：9mA/输出。</w:t>
            </w:r>
          </w:p>
          <w:p>
            <w:pPr>
              <w:spacing w:line="240" w:lineRule="auto"/>
              <w:jc w:val="left"/>
              <w:rPr>
                <w:rFonts w:hint="eastAsia" w:ascii="宋体" w:hAnsi="宋体" w:eastAsia="宋体" w:cs="宋体"/>
                <w:b/>
                <w:bCs/>
                <w:kern w:val="0"/>
                <w:sz w:val="21"/>
                <w:szCs w:val="21"/>
              </w:rPr>
            </w:pPr>
            <w:r>
              <w:rPr>
                <w:rFonts w:hint="eastAsia" w:ascii="宋体" w:hAnsi="宋体" w:eastAsia="宋体" w:cs="宋体"/>
                <w:sz w:val="21"/>
                <w:szCs w:val="21"/>
              </w:rPr>
              <w:t>3、16通道DI模块：46 x 80 x 62，2W，30mA，接通：4mA/输入。</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6</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智能电网分布式节点规划平台</w:t>
            </w:r>
          </w:p>
        </w:tc>
        <w:tc>
          <w:tcPr>
            <w:tcW w:w="10468"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1、所投产品支持包括DB2，Informix，Oracle Binary Schema，Oracle Spatial，PostgreSQL，SQL Server Binary Schema，SQLite，Teradata、Netezza等数据库管理软件。</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2、所投产品支持实时图像处理，无需将处理结果写入磁盘，就能够显示处理结果，处理结果随运算参数改变而实时变化。至少支持下列实时图像处理：镶嵌、裁剪、全色锐化、匀色，羽化、轮廓构建。</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3、所投产品能够通过Model Builder交互式界面制作分析流程，将其保存为自定义模型工具，然后将该工具直接发布到平台门户中，在门户中可以在线使用该工具，设置相关参数，选择数据服务图层或直接在地图上标绘数据来调用该分析工具进行分析。</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4、具有弹性可伸缩的体系结构，支持热插拔式负载均衡，支持大用户量的Web并发访问。</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5、所投产品提供Rest架构的后台管理接口，能够通过管理接口能够实现对GIS Server站点和集群的管理操作，包括：创建、删除、启动、停止等；以及能支持主流Windows和Linux平台。</w:t>
            </w:r>
          </w:p>
          <w:p>
            <w:pPr>
              <w:spacing w:line="240" w:lineRule="auto"/>
              <w:jc w:val="both"/>
              <w:rPr>
                <w:rFonts w:hint="eastAsia" w:ascii="宋体" w:hAnsi="宋体" w:eastAsia="宋体" w:cs="宋体"/>
                <w:b/>
                <w:bCs/>
                <w:kern w:val="0"/>
                <w:sz w:val="21"/>
                <w:szCs w:val="21"/>
              </w:rPr>
            </w:pPr>
            <w:r>
              <w:rPr>
                <w:rFonts w:hint="eastAsia" w:ascii="宋体" w:hAnsi="宋体" w:eastAsia="宋体" w:cs="宋体"/>
                <w:sz w:val="21"/>
                <w:szCs w:val="21"/>
              </w:rPr>
              <w:t>6、所投产品提供多方位的安全机制，支持基于用户和角色的安全授权，支持基于令牌的身份认证，支持SSL（Security Socket Layer）加密机制，支持反向代理服务器部署策略，支持PKI认证，增强安全性。</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7</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分布式节点规划云平台</w:t>
            </w:r>
          </w:p>
        </w:tc>
        <w:tc>
          <w:tcPr>
            <w:tcW w:w="10468"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1、支持跨平台，可以运行在WINDOWS、LINUX操作系统。</w:t>
            </w:r>
          </w:p>
          <w:p>
            <w:pPr>
              <w:spacing w:line="240" w:lineRule="auto"/>
              <w:rPr>
                <w:rFonts w:hint="eastAsia" w:ascii="宋体" w:hAnsi="宋体" w:eastAsia="宋体" w:cs="宋体"/>
                <w:sz w:val="21"/>
                <w:szCs w:val="21"/>
              </w:rPr>
            </w:pPr>
            <w:r>
              <w:rPr>
                <w:rFonts w:hint="eastAsia" w:ascii="宋体" w:hAnsi="宋体" w:eastAsia="宋体" w:cs="宋体"/>
                <w:sz w:val="21"/>
                <w:szCs w:val="21"/>
              </w:rPr>
              <w:t>2、所投产品支持在Excel、PPT中可以动态添加GIS平台的服务，并可以在office软件中将地图自由的放大缩小移动，支持在office软件中将表格数据上图并在office中直接将表格数据上图后的成果发布成服务。</w:t>
            </w:r>
          </w:p>
          <w:p>
            <w:pPr>
              <w:spacing w:line="240" w:lineRule="auto"/>
              <w:rPr>
                <w:rFonts w:hint="eastAsia" w:ascii="宋体" w:hAnsi="宋体" w:eastAsia="宋体" w:cs="宋体"/>
                <w:sz w:val="21"/>
                <w:szCs w:val="21"/>
              </w:rPr>
            </w:pPr>
            <w:r>
              <w:rPr>
                <w:rFonts w:hint="eastAsia" w:ascii="宋体" w:hAnsi="宋体" w:eastAsia="宋体" w:cs="宋体"/>
                <w:sz w:val="21"/>
                <w:szCs w:val="21"/>
              </w:rPr>
              <w:t>3、提供即拿即用的Web应用构建工具或向导，零编程快速构建Web端应用。基于该框架能够通过简单配置的方式完成应用，开发框架可提供30多种功能组件以便应用搭建时选用。</w:t>
            </w:r>
          </w:p>
          <w:p>
            <w:pPr>
              <w:spacing w:line="240" w:lineRule="auto"/>
              <w:rPr>
                <w:rFonts w:hint="eastAsia" w:ascii="宋体" w:hAnsi="宋体" w:eastAsia="宋体" w:cs="宋体"/>
                <w:sz w:val="21"/>
                <w:szCs w:val="21"/>
              </w:rPr>
            </w:pPr>
            <w:r>
              <w:rPr>
                <w:rFonts w:hint="eastAsia" w:ascii="宋体" w:hAnsi="宋体" w:eastAsia="宋体" w:cs="宋体"/>
                <w:sz w:val="21"/>
                <w:szCs w:val="21"/>
              </w:rPr>
              <w:t>4、门户提供完整功能的REST API，可以使用这些REST API进行扩展开发、应用开发和系统集成等。</w:t>
            </w:r>
          </w:p>
          <w:p>
            <w:pPr>
              <w:spacing w:line="240" w:lineRule="auto"/>
              <w:rPr>
                <w:rFonts w:hint="eastAsia" w:ascii="宋体" w:hAnsi="宋体" w:eastAsia="宋体" w:cs="宋体"/>
                <w:sz w:val="21"/>
                <w:szCs w:val="21"/>
              </w:rPr>
            </w:pPr>
            <w:r>
              <w:rPr>
                <w:rFonts w:hint="eastAsia" w:ascii="宋体" w:hAnsi="宋体" w:eastAsia="宋体" w:cs="宋体"/>
                <w:sz w:val="21"/>
                <w:szCs w:val="21"/>
              </w:rPr>
              <w:t>5、支持发布托管的矢量切片图层，当数据更新后，可不改变服务地址的情况下，进行数据更新。</w:t>
            </w:r>
          </w:p>
          <w:p>
            <w:pPr>
              <w:spacing w:line="240" w:lineRule="auto"/>
              <w:rPr>
                <w:rFonts w:hint="eastAsia" w:ascii="宋体" w:hAnsi="宋体" w:eastAsia="宋体" w:cs="宋体"/>
                <w:sz w:val="21"/>
                <w:szCs w:val="21"/>
              </w:rPr>
            </w:pPr>
            <w:r>
              <w:rPr>
                <w:rFonts w:hint="eastAsia" w:ascii="宋体" w:hAnsi="宋体" w:eastAsia="宋体" w:cs="宋体"/>
                <w:sz w:val="21"/>
                <w:szCs w:val="21"/>
              </w:rPr>
              <w:t>6、提供在线制图环境，可满足基本的制图分析需求；在制图时能直接添加各类资源，可以进行底图切换、符号配置、弹出窗口配置、进行一些分析操作以及提供一些常用的地图功能。能支持数据驱动的智能制图模式。</w:t>
            </w:r>
          </w:p>
          <w:p>
            <w:pPr>
              <w:spacing w:line="240" w:lineRule="auto"/>
              <w:jc w:val="left"/>
              <w:rPr>
                <w:rFonts w:hint="eastAsia" w:ascii="宋体" w:hAnsi="宋体" w:eastAsia="宋体" w:cs="宋体"/>
                <w:b/>
                <w:bCs/>
                <w:kern w:val="0"/>
                <w:sz w:val="21"/>
                <w:szCs w:val="21"/>
              </w:rPr>
            </w:pPr>
            <w:r>
              <w:rPr>
                <w:rFonts w:hint="eastAsia" w:ascii="宋体" w:hAnsi="宋体" w:eastAsia="宋体" w:cs="宋体"/>
                <w:sz w:val="21"/>
                <w:szCs w:val="21"/>
              </w:rPr>
              <w:t>7、支持三维场景中进行二维要素图层的数据驱动式制图，并支持基于要素属性实现二维数据的三维可视化表达。</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8</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分布式节点规划开发平台</w:t>
            </w:r>
          </w:p>
        </w:tc>
        <w:tc>
          <w:tcPr>
            <w:tcW w:w="10468"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1、GIS平台软件支持与主流遥感软件的软件功能一体化，能够与PCI、Erdas或者ENVI等遥感软件其中一种无缝融合，即GIS平台软件支持通过简单菜单传送方式接收遥感软件处理好的数据，进行后续处理和分析。</w:t>
            </w:r>
          </w:p>
          <w:p>
            <w:pPr>
              <w:spacing w:line="240" w:lineRule="auto"/>
              <w:rPr>
                <w:rFonts w:hint="eastAsia" w:ascii="宋体" w:hAnsi="宋体" w:eastAsia="宋体" w:cs="宋体"/>
                <w:sz w:val="21"/>
                <w:szCs w:val="21"/>
              </w:rPr>
            </w:pPr>
            <w:r>
              <w:rPr>
                <w:rFonts w:hint="eastAsia" w:ascii="宋体" w:hAnsi="宋体" w:eastAsia="宋体" w:cs="宋体"/>
                <w:sz w:val="21"/>
                <w:szCs w:val="21"/>
              </w:rPr>
              <w:t>2、无需转换的情况下原生支持GRID格式的DEM;空间数据库原生支持“Area must Contains One Point”、” Line Must Not Intersect With”、” Line Must Not Intersect or Touch Interior With”等拓扑规则。</w:t>
            </w:r>
          </w:p>
          <w:p>
            <w:pPr>
              <w:spacing w:line="240" w:lineRule="auto"/>
              <w:rPr>
                <w:rFonts w:hint="eastAsia" w:ascii="宋体" w:hAnsi="宋体" w:eastAsia="宋体" w:cs="宋体"/>
                <w:sz w:val="21"/>
                <w:szCs w:val="21"/>
              </w:rPr>
            </w:pPr>
            <w:r>
              <w:rPr>
                <w:rFonts w:hint="eastAsia" w:ascii="宋体" w:hAnsi="宋体" w:eastAsia="宋体" w:cs="宋体"/>
                <w:sz w:val="21"/>
                <w:szCs w:val="21"/>
              </w:rPr>
              <w:t>3、提供基于Geodatabase对数据进行编辑跟踪、版本管理、以及同步复制的功能，通过同步复制功能可以实现库与库之间的在线或者离线同步，同步复制包括三种方式，签入签出方式、单向、双向。</w:t>
            </w:r>
          </w:p>
          <w:p>
            <w:pPr>
              <w:spacing w:line="240" w:lineRule="auto"/>
              <w:rPr>
                <w:rFonts w:hint="eastAsia" w:ascii="宋体" w:hAnsi="宋体" w:eastAsia="宋体" w:cs="宋体"/>
                <w:sz w:val="21"/>
                <w:szCs w:val="21"/>
              </w:rPr>
            </w:pPr>
            <w:r>
              <w:rPr>
                <w:rFonts w:hint="eastAsia" w:ascii="宋体" w:hAnsi="宋体" w:eastAsia="宋体" w:cs="宋体"/>
                <w:sz w:val="21"/>
                <w:szCs w:val="21"/>
              </w:rPr>
              <w:t>4、支持对大量点要素以动态聚合方式显示。</w:t>
            </w:r>
          </w:p>
          <w:p>
            <w:pPr>
              <w:spacing w:line="240" w:lineRule="auto"/>
              <w:rPr>
                <w:rFonts w:hint="eastAsia" w:ascii="宋体" w:hAnsi="宋体" w:eastAsia="宋体" w:cs="宋体"/>
                <w:sz w:val="21"/>
                <w:szCs w:val="21"/>
              </w:rPr>
            </w:pPr>
            <w:r>
              <w:rPr>
                <w:rFonts w:hint="eastAsia" w:ascii="宋体" w:hAnsi="宋体" w:eastAsia="宋体" w:cs="宋体"/>
                <w:sz w:val="21"/>
                <w:szCs w:val="21"/>
              </w:rPr>
              <w:t>5、所投产品提供数据模型设计工具，支持Case Tools，Enterprise Architect等通用数据库设计工具。数据模型支持xml方式进行数据库结构的导入导出。</w:t>
            </w:r>
          </w:p>
          <w:p>
            <w:pPr>
              <w:spacing w:line="240" w:lineRule="auto"/>
              <w:rPr>
                <w:rFonts w:hint="eastAsia" w:ascii="宋体" w:hAnsi="宋体" w:eastAsia="宋体" w:cs="宋体"/>
                <w:sz w:val="21"/>
                <w:szCs w:val="21"/>
              </w:rPr>
            </w:pPr>
            <w:r>
              <w:rPr>
                <w:rFonts w:hint="eastAsia" w:ascii="宋体" w:hAnsi="宋体" w:eastAsia="宋体" w:cs="宋体"/>
                <w:sz w:val="21"/>
                <w:szCs w:val="21"/>
              </w:rPr>
              <w:t>6、支持多种类型的卫星影像，包括环境卫星、资源一号、资源三号、高分一号、高分二号、高分四号、吉林1号和天绘一号（HJ-1A/B、ZY-1 02C、ZY3、GF-1、GF-2、GF-4、Jinlin-01、TH-1）等国产卫星影像，能够完成国产卫星影像的无控/有控正射校正、影像融合、大规模影像管理和快速发布。</w:t>
            </w:r>
          </w:p>
          <w:p>
            <w:pPr>
              <w:spacing w:line="240" w:lineRule="auto"/>
              <w:rPr>
                <w:rFonts w:hint="eastAsia" w:ascii="宋体" w:hAnsi="宋体" w:eastAsia="宋体" w:cs="宋体"/>
                <w:sz w:val="21"/>
                <w:szCs w:val="21"/>
              </w:rPr>
            </w:pPr>
            <w:r>
              <w:rPr>
                <w:rFonts w:hint="eastAsia" w:ascii="宋体" w:hAnsi="宋体" w:eastAsia="宋体" w:cs="宋体"/>
                <w:sz w:val="21"/>
                <w:szCs w:val="21"/>
              </w:rPr>
              <w:t>7、支持基于区域网平差技术的高精度DOM底图生产，可自动创建连接点，添加控制点，支持框幅式相机（包括无人机、大飞机）的平差模型，支持平差方案应用与取消，提高地物几何定位精度，优化重叠区域地物显示，实现大规模航飞影像生产。</w:t>
            </w:r>
          </w:p>
          <w:p>
            <w:pPr>
              <w:spacing w:line="240" w:lineRule="auto"/>
              <w:jc w:val="left"/>
              <w:rPr>
                <w:rFonts w:hint="eastAsia" w:ascii="宋体" w:hAnsi="宋体" w:eastAsia="宋体" w:cs="宋体"/>
                <w:b/>
                <w:bCs/>
                <w:kern w:val="0"/>
                <w:sz w:val="21"/>
                <w:szCs w:val="21"/>
              </w:rPr>
            </w:pPr>
            <w:r>
              <w:rPr>
                <w:rFonts w:hint="eastAsia" w:ascii="宋体" w:hAnsi="宋体" w:eastAsia="宋体" w:cs="宋体"/>
                <w:sz w:val="21"/>
                <w:szCs w:val="21"/>
              </w:rPr>
              <w:t>8、支持智能标注样式和位置设置，可实现标注与要素的自动避让，自动去除重复标注，多标注的自动换行等，提供索引型标注，支持设置标注优先级及标注权重等级考量标注间及标注与要素发生冲突时的标注的放置位置等功能。</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9</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工业安全安全网关平台</w:t>
            </w:r>
          </w:p>
        </w:tc>
        <w:tc>
          <w:tcPr>
            <w:tcW w:w="10468"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1、1U标准机架式，含交流单电源，1个RJ45串口，2个USB接口，6个千兆电口（3对Bypass），2个接口扩展槽，吞吐量：5Gbps,最大并发连接数：600万，每秒新建连接数9万。</w:t>
            </w:r>
          </w:p>
          <w:p>
            <w:pPr>
              <w:spacing w:line="240" w:lineRule="auto"/>
              <w:rPr>
                <w:rFonts w:hint="eastAsia" w:ascii="宋体" w:hAnsi="宋体" w:eastAsia="宋体" w:cs="宋体"/>
                <w:sz w:val="21"/>
                <w:szCs w:val="21"/>
              </w:rPr>
            </w:pPr>
            <w:r>
              <w:rPr>
                <w:rFonts w:hint="eastAsia" w:ascii="宋体" w:hAnsi="宋体" w:eastAsia="宋体" w:cs="宋体"/>
                <w:sz w:val="21"/>
                <w:szCs w:val="21"/>
              </w:rPr>
              <w:t>2、采用多核专用处理器、轮询处理结构，保证高吞吐率和低延时。</w:t>
            </w:r>
          </w:p>
          <w:p>
            <w:pPr>
              <w:spacing w:line="240" w:lineRule="auto"/>
              <w:rPr>
                <w:rFonts w:hint="eastAsia" w:ascii="宋体" w:hAnsi="宋体" w:eastAsia="宋体" w:cs="宋体"/>
                <w:sz w:val="21"/>
                <w:szCs w:val="21"/>
              </w:rPr>
            </w:pPr>
            <w:r>
              <w:rPr>
                <w:rFonts w:hint="eastAsia" w:ascii="宋体" w:hAnsi="宋体" w:eastAsia="宋体" w:cs="宋体"/>
                <w:sz w:val="21"/>
                <w:szCs w:val="21"/>
              </w:rPr>
              <w:t>3、支持HTTP、FTP、SMTP、POP3、TELNET、RTSP等网络应用协议防护。</w:t>
            </w:r>
          </w:p>
          <w:p>
            <w:pPr>
              <w:spacing w:line="240" w:lineRule="auto"/>
              <w:rPr>
                <w:rFonts w:hint="eastAsia" w:ascii="宋体" w:hAnsi="宋体" w:eastAsia="宋体" w:cs="宋体"/>
                <w:sz w:val="21"/>
                <w:szCs w:val="21"/>
              </w:rPr>
            </w:pPr>
            <w:r>
              <w:rPr>
                <w:rFonts w:hint="eastAsia" w:ascii="宋体" w:hAnsi="宋体" w:eastAsia="宋体" w:cs="宋体"/>
                <w:sz w:val="21"/>
                <w:szCs w:val="21"/>
              </w:rPr>
              <w:t>4、工控协议合规性检查：支持针对工业网络协议的内容和数据进行合规性检查。</w:t>
            </w:r>
          </w:p>
          <w:p>
            <w:pPr>
              <w:spacing w:line="240" w:lineRule="auto"/>
              <w:rPr>
                <w:rFonts w:hint="eastAsia" w:ascii="宋体" w:hAnsi="宋体" w:eastAsia="宋体" w:cs="宋体"/>
                <w:sz w:val="21"/>
                <w:szCs w:val="21"/>
              </w:rPr>
            </w:pPr>
            <w:r>
              <w:rPr>
                <w:rFonts w:hint="eastAsia" w:ascii="宋体" w:hAnsi="宋体" w:eastAsia="宋体" w:cs="宋体"/>
                <w:sz w:val="21"/>
                <w:szCs w:val="21"/>
              </w:rPr>
              <w:t>5、工业协议深度过滤，支持以下工控协议：Modbus TCP、IEC 101、IEC 104、DNP 3、AB、OPC、Siemens_S7_Plus、mitsubishi、GE SNP-X、Siemens_S7。</w:t>
            </w:r>
          </w:p>
          <w:p>
            <w:pPr>
              <w:spacing w:line="240" w:lineRule="auto"/>
              <w:rPr>
                <w:rFonts w:hint="eastAsia" w:ascii="宋体" w:hAnsi="宋体" w:eastAsia="宋体" w:cs="宋体"/>
                <w:sz w:val="21"/>
                <w:szCs w:val="21"/>
              </w:rPr>
            </w:pPr>
            <w:r>
              <w:rPr>
                <w:rFonts w:hint="eastAsia" w:ascii="宋体" w:hAnsi="宋体" w:eastAsia="宋体" w:cs="宋体"/>
                <w:sz w:val="21"/>
                <w:szCs w:val="21"/>
              </w:rPr>
              <w:t>6、工业协议指令级控制：支持协议指令级控制功能，例如对Modbus协议实现某个功能码或寄存器地址上的数据进行解析和控制。</w:t>
            </w:r>
          </w:p>
          <w:p>
            <w:pPr>
              <w:numPr>
                <w:ilvl w:val="0"/>
                <w:numId w:val="2"/>
              </w:numPr>
              <w:spacing w:line="240" w:lineRule="auto"/>
              <w:rPr>
                <w:rFonts w:hint="eastAsia" w:ascii="宋体" w:hAnsi="宋体" w:eastAsia="宋体" w:cs="宋体"/>
                <w:sz w:val="21"/>
                <w:szCs w:val="21"/>
              </w:rPr>
            </w:pPr>
            <w:r>
              <w:rPr>
                <w:rFonts w:hint="eastAsia" w:ascii="宋体" w:hAnsi="宋体" w:eastAsia="宋体" w:cs="宋体"/>
                <w:sz w:val="21"/>
                <w:szCs w:val="21"/>
              </w:rPr>
              <w:t>自身安全防护：应抗TCP Flood（TCP洪水攻击）、ICMP Flood（ICMP洪水攻击）、UDP Flood（UDP洪水攻击）、IP Flood（IP洪水攻击）、SYN Flood（SYN洪水攻击）、Ping of Death（Ping of Death攻击）、IP碎片攻击、TCP 碎片攻击、LAND攻击以及对SCANPORT（端口扫描）攻击。</w:t>
            </w:r>
          </w:p>
          <w:p>
            <w:pPr>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rPr>
              <w:t>8、支持智能协议识别以及辅助规则生成，采用被动检测的方式从网络中采集数据包，并进行数据包的解析，智能的与系统内置的协议特征、设备对象等进行匹配，生成可供参考的网络交互信息列表。</w:t>
            </w:r>
          </w:p>
          <w:p>
            <w:pPr>
              <w:spacing w:line="240" w:lineRule="auto"/>
              <w:rPr>
                <w:rFonts w:hint="eastAsia" w:ascii="宋体" w:hAnsi="宋体" w:eastAsia="宋体" w:cs="宋体"/>
                <w:sz w:val="21"/>
                <w:szCs w:val="21"/>
              </w:rPr>
            </w:pPr>
            <w:r>
              <w:rPr>
                <w:rFonts w:hint="eastAsia" w:ascii="宋体" w:hAnsi="宋体" w:eastAsia="宋体" w:cs="宋体"/>
                <w:sz w:val="21"/>
                <w:szCs w:val="21"/>
              </w:rPr>
              <w:t>9、支持透明接入，支持直通、测试和管控三种工作模式。</w:t>
            </w:r>
          </w:p>
          <w:p>
            <w:pPr>
              <w:spacing w:line="240" w:lineRule="auto"/>
              <w:rPr>
                <w:rFonts w:hint="eastAsia" w:ascii="宋体" w:hAnsi="宋体" w:eastAsia="宋体" w:cs="宋体"/>
                <w:sz w:val="21"/>
                <w:szCs w:val="21"/>
              </w:rPr>
            </w:pPr>
            <w:r>
              <w:rPr>
                <w:rFonts w:hint="eastAsia" w:ascii="宋体" w:hAnsi="宋体" w:eastAsia="宋体" w:cs="宋体"/>
                <w:sz w:val="21"/>
                <w:szCs w:val="21"/>
              </w:rPr>
              <w:t>10、支持Syslog日志外发，SNMP状态监控</w:t>
            </w:r>
          </w:p>
          <w:p>
            <w:pPr>
              <w:spacing w:line="240" w:lineRule="auto"/>
              <w:rPr>
                <w:rFonts w:hint="eastAsia" w:ascii="宋体" w:hAnsi="宋体" w:eastAsia="宋体" w:cs="宋体"/>
                <w:sz w:val="21"/>
                <w:szCs w:val="21"/>
              </w:rPr>
            </w:pPr>
            <w:r>
              <w:rPr>
                <w:rFonts w:hint="eastAsia" w:ascii="宋体" w:hAnsi="宋体" w:eastAsia="宋体" w:cs="宋体"/>
                <w:sz w:val="21"/>
                <w:szCs w:val="21"/>
              </w:rPr>
              <w:t>11、支持IPSEC VPN。</w:t>
            </w:r>
          </w:p>
          <w:p>
            <w:pPr>
              <w:spacing w:line="240" w:lineRule="auto"/>
              <w:rPr>
                <w:rFonts w:hint="eastAsia" w:ascii="宋体" w:hAnsi="宋体" w:eastAsia="宋体" w:cs="宋体"/>
                <w:sz w:val="21"/>
                <w:szCs w:val="21"/>
              </w:rPr>
            </w:pPr>
            <w:r>
              <w:rPr>
                <w:rFonts w:hint="eastAsia" w:ascii="宋体" w:hAnsi="宋体" w:eastAsia="宋体" w:cs="宋体"/>
                <w:sz w:val="21"/>
                <w:szCs w:val="21"/>
              </w:rPr>
              <w:t>12、支持系统管理员、安全管理员和日志管理员三种权限设置。</w:t>
            </w:r>
          </w:p>
          <w:p>
            <w:pPr>
              <w:spacing w:line="240" w:lineRule="auto"/>
              <w:rPr>
                <w:rFonts w:hint="eastAsia" w:ascii="宋体" w:hAnsi="宋体" w:eastAsia="宋体" w:cs="宋体"/>
                <w:sz w:val="21"/>
                <w:szCs w:val="21"/>
              </w:rPr>
            </w:pPr>
            <w:r>
              <w:rPr>
                <w:rFonts w:hint="eastAsia" w:ascii="宋体" w:hAnsi="宋体" w:eastAsia="宋体" w:cs="宋体"/>
                <w:sz w:val="21"/>
                <w:szCs w:val="21"/>
              </w:rPr>
              <w:t>13、支持对管理超时时间、允许登录次数、账号认证时间、账号锁定时间和可信管理地址的配置。</w:t>
            </w:r>
          </w:p>
          <w:p>
            <w:pPr>
              <w:spacing w:line="240" w:lineRule="auto"/>
              <w:rPr>
                <w:rFonts w:hint="eastAsia" w:ascii="宋体" w:hAnsi="宋体" w:eastAsia="宋体" w:cs="宋体"/>
                <w:sz w:val="21"/>
                <w:szCs w:val="21"/>
              </w:rPr>
            </w:pPr>
            <w:r>
              <w:rPr>
                <w:rFonts w:hint="eastAsia" w:ascii="宋体" w:hAnsi="宋体" w:eastAsia="宋体" w:cs="宋体"/>
                <w:sz w:val="21"/>
                <w:szCs w:val="21"/>
              </w:rPr>
              <w:t>14、支持软件狗，在程序异常时自动尝试恢复，不可恢复时进入bypass。</w:t>
            </w:r>
          </w:p>
          <w:p>
            <w:pPr>
              <w:spacing w:line="240" w:lineRule="auto"/>
              <w:rPr>
                <w:rFonts w:hint="eastAsia" w:ascii="宋体" w:hAnsi="宋体" w:eastAsia="宋体" w:cs="宋体"/>
                <w:sz w:val="21"/>
                <w:szCs w:val="21"/>
              </w:rPr>
            </w:pPr>
            <w:r>
              <w:rPr>
                <w:rFonts w:hint="eastAsia" w:ascii="宋体" w:hAnsi="宋体" w:eastAsia="宋体" w:cs="宋体"/>
                <w:sz w:val="21"/>
                <w:szCs w:val="21"/>
              </w:rPr>
              <w:t>15、支持硬件狗，在系统或硬件异常、断电时进入bypass状态。同时应支持双机热备。</w:t>
            </w:r>
          </w:p>
          <w:p>
            <w:pPr>
              <w:spacing w:line="240" w:lineRule="auto"/>
              <w:rPr>
                <w:rFonts w:hint="eastAsia" w:ascii="宋体" w:hAnsi="宋体" w:eastAsia="宋体" w:cs="宋体"/>
                <w:sz w:val="21"/>
                <w:szCs w:val="21"/>
              </w:rPr>
            </w:pPr>
            <w:r>
              <w:rPr>
                <w:rFonts w:hint="eastAsia" w:ascii="宋体" w:hAnsi="宋体" w:eastAsia="宋体" w:cs="宋体"/>
                <w:sz w:val="21"/>
                <w:szCs w:val="21"/>
              </w:rPr>
              <w:t>16、支持流量限制，支持最大带宽和保障带宽配置</w:t>
            </w:r>
            <w:r>
              <w:rPr>
                <w:rFonts w:hint="eastAsia" w:ascii="宋体" w:hAnsi="宋体" w:eastAsia="宋体" w:cs="宋体"/>
                <w:color w:val="000000" w:themeColor="text1"/>
                <w:sz w:val="21"/>
                <w:szCs w:val="21"/>
                <w14:textFill>
                  <w14:solidFill>
                    <w14:schemeClr w14:val="tx1"/>
                  </w14:solidFill>
                </w14:textFill>
              </w:rPr>
              <w:t>。</w:t>
            </w:r>
          </w:p>
          <w:p>
            <w:pPr>
              <w:spacing w:line="240" w:lineRule="auto"/>
              <w:rPr>
                <w:rFonts w:hint="eastAsia" w:ascii="宋体" w:hAnsi="宋体" w:eastAsia="宋体" w:cs="宋体"/>
                <w:b/>
                <w:bCs/>
                <w:kern w:val="0"/>
                <w:sz w:val="21"/>
                <w:szCs w:val="21"/>
              </w:rPr>
            </w:pPr>
            <w:r>
              <w:rPr>
                <w:rFonts w:hint="eastAsia" w:ascii="宋体" w:hAnsi="宋体" w:eastAsia="宋体" w:cs="宋体"/>
                <w:sz w:val="21"/>
                <w:szCs w:val="21"/>
              </w:rPr>
              <w:t>17、支持工控协议深度过滤插件定制开发。应支持包括任何管理配置操作、登录、网络协议报警、应用协议报警等日志记录，并支持条件查询和导入导出等操作。</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10</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工业控制安全审计系统平台</w:t>
            </w:r>
          </w:p>
        </w:tc>
        <w:tc>
          <w:tcPr>
            <w:tcW w:w="10468"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1、1U标准机架式，含交流单电源，1个GE管理口，1个RJ45串口，2个USB接口，6个千兆电口，1个接口扩展槽，硬盘1TB，最大检测能力600Mbps，对工业控制系统提供安全审计和事件告警，提供业务行为基线、异常操作告警审计功能。</w:t>
            </w:r>
          </w:p>
          <w:p>
            <w:pPr>
              <w:spacing w:line="240" w:lineRule="auto"/>
              <w:rPr>
                <w:rFonts w:hint="eastAsia" w:ascii="宋体" w:hAnsi="宋体" w:eastAsia="宋体" w:cs="宋体"/>
                <w:sz w:val="21"/>
                <w:szCs w:val="21"/>
              </w:rPr>
            </w:pPr>
            <w:r>
              <w:rPr>
                <w:rFonts w:hint="eastAsia" w:ascii="宋体" w:hAnsi="宋体" w:eastAsia="宋体" w:cs="宋体"/>
                <w:sz w:val="21"/>
                <w:szCs w:val="21"/>
              </w:rPr>
              <w:t>2、系统可以针对工业协议进行深度解析，能针对工业网络协议的内容和数据进行细致的合规性检查，对于操作指令中包含的针对点表、寄存器的异常操作进行报警，最大限度地保护控制系统的安全。</w:t>
            </w:r>
          </w:p>
          <w:p>
            <w:pPr>
              <w:spacing w:line="240" w:lineRule="auto"/>
              <w:rPr>
                <w:rFonts w:hint="eastAsia" w:ascii="宋体" w:hAnsi="宋体" w:eastAsia="宋体" w:cs="宋体"/>
                <w:sz w:val="21"/>
                <w:szCs w:val="21"/>
              </w:rPr>
            </w:pPr>
            <w:r>
              <w:rPr>
                <w:rFonts w:hint="eastAsia" w:ascii="宋体" w:hAnsi="宋体" w:eastAsia="宋体" w:cs="宋体"/>
                <w:sz w:val="21"/>
                <w:szCs w:val="21"/>
              </w:rPr>
              <w:t>3、系统能使用被动检测的方式从网络中采集数据包，并进行数据包的解析，智能的与系统内置的协议特征、设备对象等进行匹配，生成可供参考的网络交互信息列表，通过对协议分布和流量信息的匹配，形成“网络流量行为基线”，帮助用户以最捷的方式了解和掌握网络中的业务通信状态，发现网络潜在的安全。</w:t>
            </w:r>
          </w:p>
          <w:p>
            <w:pPr>
              <w:numPr>
                <w:ilvl w:val="0"/>
                <w:numId w:val="3"/>
              </w:numPr>
              <w:spacing w:line="240" w:lineRule="auto"/>
              <w:rPr>
                <w:rFonts w:hint="eastAsia" w:ascii="宋体" w:hAnsi="宋体" w:eastAsia="宋体" w:cs="宋体"/>
                <w:sz w:val="21"/>
                <w:szCs w:val="21"/>
              </w:rPr>
            </w:pPr>
            <w:r>
              <w:rPr>
                <w:rFonts w:hint="eastAsia" w:ascii="宋体" w:hAnsi="宋体" w:eastAsia="宋体" w:cs="宋体"/>
                <w:sz w:val="21"/>
                <w:szCs w:val="21"/>
              </w:rPr>
              <w:t>支持同时审计多种数据库及跨多种数据库平台操作；支持实时审计用户对数据库系统所有操作；支持分析、提取SQL语句中绑定变量，并可完全监测还原SQL操作语句包括源IP地址、目的IP地址、访问时间、MAC地址、数据库用户名、客户端类型、数据库操作类型、数据库表名、字段名等。</w:t>
            </w:r>
          </w:p>
          <w:p>
            <w:pPr>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rPr>
              <w:t>5、可将功能代码与具体业务操作进行关联，实现业务安全审计的功能。可深度支持发电厂电气（NCS）相关监控系统、变电站电力监控系统的业务行为。可对MMS遥控等报文进行检测和告警。可对运维人员下发的MMS报文产生的非法操作进行检测和告警。可对资产新增、路径异常、未知协议、越权操作、关键控制等行为进行检测和告警。</w:t>
            </w:r>
          </w:p>
          <w:p>
            <w:pPr>
              <w:spacing w:line="240" w:lineRule="auto"/>
              <w:rPr>
                <w:rFonts w:hint="eastAsia" w:ascii="宋体" w:hAnsi="宋体" w:eastAsia="宋体" w:cs="宋体"/>
                <w:sz w:val="21"/>
                <w:szCs w:val="21"/>
              </w:rPr>
            </w:pPr>
            <w:r>
              <w:rPr>
                <w:rFonts w:hint="eastAsia" w:ascii="宋体" w:hAnsi="宋体" w:eastAsia="宋体" w:cs="宋体"/>
                <w:sz w:val="21"/>
                <w:szCs w:val="21"/>
              </w:rPr>
              <w:t>6、通讯关系策略配置功能，可调用模板，且具备当前通讯关系风险度预警，可进行通讯关系手动确认操作。</w:t>
            </w:r>
          </w:p>
          <w:p>
            <w:pPr>
              <w:numPr>
                <w:ilvl w:val="0"/>
                <w:numId w:val="0"/>
              </w:numPr>
              <w:spacing w:line="240" w:lineRule="auto"/>
              <w:ind w:leftChars="0"/>
              <w:rPr>
                <w:rFonts w:hint="eastAsia" w:ascii="宋体" w:hAnsi="宋体" w:eastAsia="宋体" w:cs="宋体"/>
                <w:b/>
                <w:bCs/>
                <w:kern w:val="0"/>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、基线学习方式分为自动学习和自定义学习两种方式，可以自定义基线学习的时间范围，并进行调整。系统应支持配置向导模式，可引导用户完成安全审计策略的配置工作。</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11</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工业安全检测防御平台</w:t>
            </w:r>
          </w:p>
        </w:tc>
        <w:tc>
          <w:tcPr>
            <w:tcW w:w="10468"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1、2U标准机架式，含交流双电源，2个USB接口，1个RJ45串口，1个GE管理口，6个千兆电口，1个接口扩展槽；应用层吞吐量1Gbps, 最大并发会话数150万，每秒新增会话数4万。</w:t>
            </w:r>
          </w:p>
          <w:p>
            <w:pPr>
              <w:spacing w:line="240" w:lineRule="auto"/>
              <w:rPr>
                <w:rFonts w:hint="eastAsia" w:ascii="宋体" w:hAnsi="宋体" w:eastAsia="宋体" w:cs="宋体"/>
                <w:sz w:val="21"/>
                <w:szCs w:val="21"/>
              </w:rPr>
            </w:pPr>
            <w:r>
              <w:rPr>
                <w:rFonts w:hint="eastAsia" w:ascii="宋体" w:hAnsi="宋体" w:eastAsia="宋体" w:cs="宋体"/>
                <w:sz w:val="21"/>
                <w:szCs w:val="21"/>
              </w:rPr>
              <w:t>2、系统提供覆盖广泛的攻击特征库，可针对网络病毒、蠕虫、间谍软件、木马后门、扫描探测、暴力破解等恶意流量进行检测。攻击特征库数量为7000种以上。</w:t>
            </w:r>
          </w:p>
          <w:p>
            <w:pPr>
              <w:spacing w:line="240" w:lineRule="auto"/>
              <w:rPr>
                <w:rFonts w:hint="eastAsia" w:ascii="宋体" w:hAnsi="宋体" w:eastAsia="宋体" w:cs="宋体"/>
                <w:sz w:val="21"/>
                <w:szCs w:val="21"/>
              </w:rPr>
            </w:pPr>
            <w:r>
              <w:rPr>
                <w:rFonts w:hint="eastAsia" w:ascii="宋体" w:hAnsi="宋体" w:eastAsia="宋体" w:cs="宋体"/>
                <w:sz w:val="21"/>
                <w:szCs w:val="21"/>
              </w:rPr>
              <w:t>3、系统具备融合模式匹配、协议分析、异常检测、会话关联分析，以及抗IDS逃逸等多种技术，准确识别各种黑客入侵，为用户提供2~7层深度入侵防御。</w:t>
            </w:r>
          </w:p>
          <w:p>
            <w:pPr>
              <w:spacing w:line="240" w:lineRule="auto"/>
              <w:rPr>
                <w:rFonts w:hint="eastAsia" w:ascii="宋体" w:hAnsi="宋体" w:eastAsia="宋体" w:cs="宋体"/>
                <w:sz w:val="21"/>
                <w:szCs w:val="21"/>
              </w:rPr>
            </w:pPr>
            <w:r>
              <w:rPr>
                <w:rFonts w:hint="eastAsia" w:ascii="宋体" w:hAnsi="宋体" w:eastAsia="宋体" w:cs="宋体"/>
                <w:sz w:val="21"/>
                <w:szCs w:val="21"/>
              </w:rPr>
              <w:t>4、支持基于SCADA等工控协议的相关漏洞攻击检测与防护</w:t>
            </w:r>
          </w:p>
          <w:p>
            <w:pPr>
              <w:numPr>
                <w:ilvl w:val="0"/>
                <w:numId w:val="0"/>
              </w:numPr>
              <w:spacing w:line="24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、系统可以智能化的流量自学习规则，辅助系统自动生成相关的异常检测规则，对现有的规则进行调优。</w:t>
            </w:r>
          </w:p>
          <w:p>
            <w:pPr>
              <w:numPr>
                <w:ilvl w:val="0"/>
                <w:numId w:val="3"/>
              </w:numPr>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设备采用被动检测的方式从网络中采集数据包，并进行数据包的解析，智能的与系统内置的协议特征、设备对象等进行匹配，生成可供参考的网络交互信息列表，通过对协议分布和流量信息的匹配，形成“网络流量行为基线”，帮助用户以最捷的方式了解和掌握网络中的业务通信状态，发现网络潜在的安全。</w:t>
            </w:r>
          </w:p>
          <w:p>
            <w:pPr>
              <w:spacing w:line="240" w:lineRule="auto"/>
              <w:rPr>
                <w:rFonts w:hint="eastAsia" w:ascii="宋体" w:hAnsi="宋体" w:eastAsia="宋体" w:cs="宋体"/>
                <w:sz w:val="21"/>
                <w:szCs w:val="21"/>
              </w:rPr>
            </w:pPr>
            <w:r>
              <w:rPr>
                <w:rFonts w:hint="eastAsia" w:ascii="宋体" w:hAnsi="宋体" w:eastAsia="宋体" w:cs="宋体"/>
                <w:sz w:val="21"/>
                <w:szCs w:val="21"/>
              </w:rPr>
              <w:t>7、系统具备防僵尸网络功能，从而提高整体安全防护能力，</w:t>
            </w:r>
          </w:p>
          <w:p>
            <w:pPr>
              <w:spacing w:line="240" w:lineRule="auto"/>
              <w:rPr>
                <w:rFonts w:hint="eastAsia" w:ascii="宋体" w:hAnsi="宋体" w:eastAsia="宋体" w:cs="宋体"/>
                <w:sz w:val="21"/>
                <w:szCs w:val="21"/>
              </w:rPr>
            </w:pPr>
            <w:r>
              <w:rPr>
                <w:rFonts w:hint="eastAsia" w:ascii="宋体" w:hAnsi="宋体" w:eastAsia="宋体" w:cs="宋体"/>
                <w:sz w:val="21"/>
                <w:szCs w:val="21"/>
              </w:rPr>
              <w:t>8、系统可以针对工业协议进行深度解析，可以针对工业网络协议的内容和数据进行细致的合规性检查，对于操作指令中包含的针对点表、寄存器的异常操作进行报警，最大限度地保护控制系统的安全。支持ModBus TCP协议和IEC 104协议的解析，解析内容包括源目的IP、源目的端口、协议名称、协议内容等，</w:t>
            </w:r>
          </w:p>
          <w:p>
            <w:pPr>
              <w:spacing w:line="240" w:lineRule="auto"/>
              <w:rPr>
                <w:rFonts w:hint="eastAsia" w:ascii="宋体" w:hAnsi="宋体" w:eastAsia="宋体" w:cs="宋体"/>
                <w:sz w:val="21"/>
                <w:szCs w:val="21"/>
              </w:rPr>
            </w:pPr>
            <w:r>
              <w:rPr>
                <w:rFonts w:hint="eastAsia" w:ascii="宋体" w:hAnsi="宋体" w:eastAsia="宋体" w:cs="宋体"/>
                <w:sz w:val="21"/>
                <w:szCs w:val="21"/>
              </w:rPr>
              <w:t>9、系统可以针对西门子、施耐德、ABB、AB等主流工业控制系统的控制器的漏洞利用过程进行有效检测，可以针对主流上位机WellinTech、Advantech、WINCC等漏洞利用的过程进行检测。支持PLC抗拒绝服务漏洞（CVE-2013-2784）、缓冲溢出漏洞（CVE-2014-0768）等典型工控漏洞的识别，并产生告警信息。</w:t>
            </w:r>
          </w:p>
          <w:p>
            <w:pPr>
              <w:spacing w:line="240" w:lineRule="auto"/>
              <w:rPr>
                <w:rFonts w:hint="eastAsia" w:ascii="宋体" w:hAnsi="宋体" w:eastAsia="宋体" w:cs="宋体"/>
                <w:b/>
                <w:bCs/>
                <w:kern w:val="0"/>
                <w:sz w:val="21"/>
                <w:szCs w:val="21"/>
              </w:rPr>
            </w:pPr>
            <w:r>
              <w:rPr>
                <w:rFonts w:hint="eastAsia" w:ascii="宋体" w:hAnsi="宋体" w:eastAsia="宋体" w:cs="宋体"/>
                <w:sz w:val="21"/>
                <w:szCs w:val="21"/>
              </w:rPr>
              <w:t>10、系统提供基于组态的配置模板，可以针对客户的业务场景通过模板进行场景化的配置，方便现场的操作人员对规则进行配置和使用，使用上符合现场操作人员对工控系统的使用习惯。通过预制的设备类型和应用场景，用户无需关注具体的规则设备，只需要配置场景就可以实现在应用场景内的规则配置和应用。</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12</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工业安全漏洞挖掘与分析平台</w:t>
            </w:r>
          </w:p>
        </w:tc>
        <w:tc>
          <w:tcPr>
            <w:tcW w:w="10468"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1、1U标准机架式，含交流单电源，1个RJ45串口，1个GE管理口，6个10M/100M/1000M自适应以太网电口扫描口，1个接口扩展槽位，硬盘1T，最大并发扫描60个主机，最大扫描速度800 ip/h，最大并发任务数10，对工业控制系统提供专业的漏洞检测和分析，提供漏洞挖掘模块，可针对未公开漏洞的工控设备的风险进行安全评估，支持RJ45和串口扫描，本次提供无限IP授权。</w:t>
            </w:r>
          </w:p>
          <w:p>
            <w:pPr>
              <w:numPr>
                <w:ilvl w:val="0"/>
                <w:numId w:val="4"/>
              </w:numPr>
              <w:spacing w:line="240" w:lineRule="auto"/>
              <w:rPr>
                <w:rFonts w:hint="eastAsia" w:ascii="宋体" w:hAnsi="宋体" w:eastAsia="宋体" w:cs="宋体"/>
                <w:sz w:val="21"/>
                <w:szCs w:val="21"/>
              </w:rPr>
            </w:pPr>
            <w:r>
              <w:rPr>
                <w:rFonts w:hint="eastAsia" w:ascii="宋体" w:hAnsi="宋体" w:eastAsia="宋体" w:cs="宋体"/>
                <w:sz w:val="21"/>
                <w:szCs w:val="21"/>
              </w:rPr>
              <w:t>漏洞扫描支持的协议类型：Modbus TCP、S7、DNP3、Profinet、Ethernet/IP、IEC104、BACnet、Fox、FINS、Melsec-Q、ECOM、PCWorx、ProConOs、SNMP、Crimson、IEC61850-MMS、IEC61850-GOOSE。</w:t>
            </w:r>
          </w:p>
          <w:p>
            <w:pPr>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rPr>
              <w:t>3、系统支持针对未知漏洞进行漏洞挖掘的能力，可以通过fuzzing方法进行系统未知漏洞挖掘，发现系统可能存在的未公开的安全隐患。已提供fuzzing漏洞挖掘功能配置界面证明文件加盖原厂公章附于投标文件中。</w:t>
            </w:r>
          </w:p>
          <w:p>
            <w:pPr>
              <w:spacing w:line="240" w:lineRule="auto"/>
              <w:rPr>
                <w:rFonts w:hint="eastAsia" w:ascii="宋体" w:hAnsi="宋体" w:eastAsia="宋体" w:cs="宋体"/>
                <w:sz w:val="21"/>
                <w:szCs w:val="21"/>
              </w:rPr>
            </w:pPr>
            <w:r>
              <w:rPr>
                <w:rFonts w:hint="eastAsia" w:ascii="宋体" w:hAnsi="宋体" w:eastAsia="宋体" w:cs="宋体"/>
                <w:sz w:val="21"/>
                <w:szCs w:val="21"/>
              </w:rPr>
              <w:t>4、支持传统扫描对象，且支持工控系统的扫描。</w:t>
            </w:r>
          </w:p>
          <w:p>
            <w:pPr>
              <w:spacing w:line="240" w:lineRule="auto"/>
              <w:rPr>
                <w:rFonts w:hint="eastAsia" w:ascii="宋体" w:hAnsi="宋体" w:eastAsia="宋体" w:cs="宋体"/>
                <w:sz w:val="21"/>
                <w:szCs w:val="21"/>
              </w:rPr>
            </w:pPr>
            <w:r>
              <w:rPr>
                <w:rFonts w:hint="eastAsia" w:ascii="宋体" w:hAnsi="宋体" w:eastAsia="宋体" w:cs="宋体"/>
                <w:sz w:val="21"/>
                <w:szCs w:val="21"/>
              </w:rPr>
              <w:t>5、工控网络拓扑自动生成，支持工控系统扫描策略设定。拓扑图上应该对资产信息进行标识，如网卡类型，系统厂商等。</w:t>
            </w:r>
          </w:p>
          <w:p>
            <w:pPr>
              <w:numPr>
                <w:ilvl w:val="0"/>
                <w:numId w:val="5"/>
              </w:numPr>
              <w:spacing w:line="240" w:lineRule="auto"/>
              <w:rPr>
                <w:rFonts w:hint="eastAsia" w:ascii="宋体" w:hAnsi="宋体" w:eastAsia="宋体" w:cs="宋体"/>
                <w:sz w:val="21"/>
                <w:szCs w:val="21"/>
              </w:rPr>
            </w:pPr>
            <w:r>
              <w:rPr>
                <w:rFonts w:hint="eastAsia" w:ascii="宋体" w:hAnsi="宋体" w:eastAsia="宋体" w:cs="宋体"/>
                <w:sz w:val="21"/>
                <w:szCs w:val="21"/>
              </w:rPr>
              <w:t>提供对资产风险的多次分析能力，能有效地分析网络整体和主机的漏洞分布和风险的趋势。</w:t>
            </w:r>
          </w:p>
          <w:p>
            <w:pPr>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rPr>
              <w:t>7、提供备份恢复机制，能够对扫描结果、日志、扫描模板、参数集等配置文件进行导出和导入操作；能够对系统创建还原点对系统进行备份和还原。</w:t>
            </w:r>
          </w:p>
          <w:p>
            <w:pPr>
              <w:spacing w:line="240" w:lineRule="auto"/>
              <w:rPr>
                <w:rFonts w:hint="eastAsia" w:ascii="宋体" w:hAnsi="宋体" w:eastAsia="宋体" w:cs="宋体"/>
                <w:sz w:val="21"/>
                <w:szCs w:val="21"/>
              </w:rPr>
            </w:pPr>
            <w:r>
              <w:rPr>
                <w:rFonts w:hint="eastAsia" w:ascii="宋体" w:hAnsi="宋体" w:eastAsia="宋体" w:cs="宋体"/>
                <w:sz w:val="21"/>
                <w:szCs w:val="21"/>
              </w:rPr>
              <w:t>8、提供专门针对DNS服务的安全漏洞的检测，包括DNS投毒等漏洞检测能力</w:t>
            </w:r>
          </w:p>
          <w:p>
            <w:pPr>
              <w:spacing w:line="240" w:lineRule="auto"/>
              <w:rPr>
                <w:rFonts w:hint="eastAsia" w:ascii="宋体" w:hAnsi="宋体" w:eastAsia="宋体" w:cs="宋体"/>
                <w:b/>
                <w:bCs/>
                <w:kern w:val="0"/>
                <w:sz w:val="21"/>
                <w:szCs w:val="21"/>
              </w:rPr>
            </w:pPr>
            <w:r>
              <w:rPr>
                <w:rFonts w:hint="eastAsia" w:ascii="宋体" w:hAnsi="宋体" w:eastAsia="宋体" w:cs="宋体"/>
                <w:sz w:val="21"/>
                <w:szCs w:val="21"/>
              </w:rPr>
              <w:t>9、报表中对综述、主机、漏洞、配置、状态等信息进行分类显示；综述中应对风险类别和操作系统分布进行定量统计分析并展示；主机中应提供单主机的漏洞分布、风险值和风险等级信息，并能列出单主机的详细漏洞描述和解决建议，同时提供详细的安装软件信息、端口信息等，方便统一查看，了解资产信息；漏洞中应提供漏洞详细信息并可进行误报修正。</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pStyle w:val="2"/>
              <w:jc w:val="center"/>
              <w:rPr>
                <w:rFonts w:ascii="宋体" w:hAnsi="宋体" w:cs="宋体"/>
                <w:b/>
                <w:bCs/>
                <w:kern w:val="0"/>
                <w:sz w:val="28"/>
                <w:szCs w:val="28"/>
              </w:rPr>
            </w:pPr>
            <w:r>
              <w:rPr>
                <w:rFonts w:hint="eastAsia" w:ascii="宋体" w:hAnsi="宋体" w:eastAsia="宋体" w:cs="宋体"/>
                <w:sz w:val="24"/>
                <w:szCs w:val="24"/>
                <w:lang w:val="en-US" w:eastAsia="zh-CN"/>
              </w:rPr>
              <w:t>13</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工业控制主机</w:t>
            </w:r>
          </w:p>
        </w:tc>
        <w:tc>
          <w:tcPr>
            <w:tcW w:w="10468" w:type="dxa"/>
          </w:tcPr>
          <w:p>
            <w:pPr>
              <w:spacing w:line="240" w:lineRule="auto"/>
              <w:jc w:val="left"/>
              <w:rPr>
                <w:rFonts w:hint="eastAsia" w:ascii="宋体" w:hAnsi="宋体" w:eastAsia="宋体" w:cs="宋体"/>
                <w:b/>
                <w:bCs/>
                <w:kern w:val="0"/>
                <w:sz w:val="21"/>
                <w:szCs w:val="21"/>
              </w:rPr>
            </w:pPr>
            <w:r>
              <w:rPr>
                <w:rFonts w:hint="eastAsia" w:ascii="宋体" w:hAnsi="宋体" w:eastAsia="宋体" w:cs="宋体"/>
                <w:color w:val="000000" w:themeColor="text1"/>
                <w:sz w:val="21"/>
                <w:szCs w:val="21"/>
                <w14:textFill>
                  <w14:solidFill>
                    <w14:schemeClr w14:val="tx1"/>
                  </w14:solidFill>
                </w14:textFill>
              </w:rPr>
              <w:t>i3配置、4G内存、700G硬盘、独立显卡、双网卡，配套自控功能覆盖范围主要包括：数据采集和处理系统、模拟量控制系统、顺序控制系统。</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14</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工业控制软件</w:t>
            </w:r>
          </w:p>
        </w:tc>
        <w:tc>
          <w:tcPr>
            <w:tcW w:w="10468"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带组态服务，发电综合界面组态（包含沙盘所有发电仿真场景）、风电组态界面、110KV变电场景组态、35KV场景组态，组态中带有核心业务参数仿真和关键状态联动、并且可和学校相关上位软件进行通讯，该系统可提供工控安全攻防接口，实现业务，组态、底层逻辑、攻防课程的复现联动。配套自控应是一体化系统，使之简化培训和维护，减少硬/软件接口。控制器的配置按工艺系统功能区分组。监视和控制系统功能通过键盘进行，应是高度集中的；控制、保护、联锁等逻辑功能分散到各个微处理器中。</w:t>
            </w:r>
          </w:p>
          <w:p>
            <w:pPr>
              <w:spacing w:line="240" w:lineRule="auto"/>
              <w:rPr>
                <w:rFonts w:hint="eastAsia" w:ascii="宋体" w:hAnsi="宋体" w:eastAsia="宋体" w:cs="宋体"/>
                <w:sz w:val="21"/>
                <w:szCs w:val="21"/>
              </w:rPr>
            </w:pPr>
            <w:r>
              <w:rPr>
                <w:rFonts w:hint="eastAsia" w:ascii="宋体" w:hAnsi="宋体" w:eastAsia="宋体" w:cs="宋体"/>
                <w:sz w:val="21"/>
                <w:szCs w:val="21"/>
              </w:rPr>
              <w:t>具体功能：</w:t>
            </w:r>
          </w:p>
          <w:p>
            <w:pPr>
              <w:spacing w:line="240" w:lineRule="auto"/>
              <w:rPr>
                <w:rFonts w:hint="eastAsia" w:ascii="宋体" w:hAnsi="宋体" w:eastAsia="宋体" w:cs="宋体"/>
                <w:sz w:val="21"/>
                <w:szCs w:val="21"/>
              </w:rPr>
            </w:pPr>
            <w:r>
              <w:rPr>
                <w:rFonts w:hint="eastAsia" w:ascii="宋体" w:hAnsi="宋体" w:eastAsia="宋体" w:cs="宋体"/>
                <w:sz w:val="21"/>
                <w:szCs w:val="21"/>
              </w:rPr>
              <w:t>2、无限点，包含组态服务，具有集成化管理、模块式开发、可视化操作、智能化诊断及控制，使用简单方便，运行安全可靠。</w:t>
            </w:r>
          </w:p>
          <w:p>
            <w:pPr>
              <w:spacing w:line="240" w:lineRule="auto"/>
              <w:rPr>
                <w:rFonts w:hint="eastAsia" w:ascii="宋体" w:hAnsi="宋体" w:eastAsia="宋体" w:cs="宋体"/>
                <w:sz w:val="21"/>
                <w:szCs w:val="21"/>
              </w:rPr>
            </w:pPr>
            <w:r>
              <w:rPr>
                <w:rFonts w:hint="eastAsia" w:ascii="宋体" w:hAnsi="宋体" w:eastAsia="宋体" w:cs="宋体"/>
                <w:sz w:val="21"/>
                <w:szCs w:val="21"/>
              </w:rPr>
              <w:t>3、采用全新的数据块采集理念，将数据在图形上的展示发挥。</w:t>
            </w:r>
          </w:p>
          <w:p>
            <w:pPr>
              <w:spacing w:line="240" w:lineRule="auto"/>
              <w:rPr>
                <w:rFonts w:hint="eastAsia" w:ascii="宋体" w:hAnsi="宋体" w:eastAsia="宋体" w:cs="宋体"/>
                <w:sz w:val="21"/>
                <w:szCs w:val="21"/>
              </w:rPr>
            </w:pPr>
            <w:r>
              <w:rPr>
                <w:rFonts w:hint="eastAsia" w:ascii="宋体" w:hAnsi="宋体" w:eastAsia="宋体" w:cs="宋体"/>
                <w:sz w:val="21"/>
                <w:szCs w:val="21"/>
              </w:rPr>
              <w:t>4、具有良好的开放性，支持Activex控件、OPC、DDE、API。通过标准的协议规范，第三方软件可以轻松的实现数据交互。另外科技构建了一个开放性数据平台，可以将任何控制系统、远程终端系统、数据库、历史库以及企业其他系统进行融合，能够最大限度的帮助企业搭建智能监控管理平台。</w:t>
            </w:r>
          </w:p>
          <w:p>
            <w:pPr>
              <w:spacing w:line="240" w:lineRule="auto"/>
              <w:rPr>
                <w:rFonts w:hint="eastAsia" w:ascii="宋体" w:hAnsi="宋体" w:eastAsia="宋体" w:cs="宋体"/>
                <w:sz w:val="21"/>
                <w:szCs w:val="21"/>
              </w:rPr>
            </w:pPr>
            <w:r>
              <w:rPr>
                <w:rFonts w:hint="eastAsia" w:ascii="宋体" w:hAnsi="宋体" w:eastAsia="宋体" w:cs="宋体"/>
                <w:sz w:val="21"/>
                <w:szCs w:val="21"/>
              </w:rPr>
              <w:t>5、拥有大量图形、图库可再现真实的生产场景。</w:t>
            </w:r>
          </w:p>
          <w:p>
            <w:pPr>
              <w:spacing w:line="240" w:lineRule="auto"/>
              <w:rPr>
                <w:rFonts w:hint="eastAsia" w:ascii="宋体" w:hAnsi="宋体" w:eastAsia="宋体" w:cs="宋体"/>
                <w:sz w:val="21"/>
                <w:szCs w:val="21"/>
              </w:rPr>
            </w:pPr>
            <w:r>
              <w:rPr>
                <w:rFonts w:hint="eastAsia" w:ascii="宋体" w:hAnsi="宋体" w:eastAsia="宋体" w:cs="宋体"/>
                <w:sz w:val="21"/>
                <w:szCs w:val="21"/>
              </w:rPr>
              <w:t>6、模型可以复用，能更高效的进行组态。</w:t>
            </w:r>
          </w:p>
          <w:p>
            <w:pPr>
              <w:spacing w:line="240" w:lineRule="auto"/>
              <w:rPr>
                <w:rFonts w:hint="eastAsia" w:ascii="宋体" w:hAnsi="宋体" w:eastAsia="宋体" w:cs="宋体"/>
                <w:sz w:val="21"/>
                <w:szCs w:val="21"/>
              </w:rPr>
            </w:pPr>
            <w:r>
              <w:rPr>
                <w:rFonts w:hint="eastAsia" w:ascii="宋体" w:hAnsi="宋体" w:eastAsia="宋体" w:cs="宋体"/>
                <w:sz w:val="21"/>
                <w:szCs w:val="21"/>
              </w:rPr>
              <w:t>7、具有智能诊断，系统故障在线展示的功能。</w:t>
            </w:r>
          </w:p>
          <w:p>
            <w:pPr>
              <w:spacing w:line="240" w:lineRule="auto"/>
              <w:rPr>
                <w:rFonts w:hint="eastAsia" w:ascii="宋体" w:hAnsi="宋体" w:eastAsia="宋体" w:cs="宋体"/>
                <w:sz w:val="21"/>
                <w:szCs w:val="21"/>
              </w:rPr>
            </w:pPr>
            <w:r>
              <w:rPr>
                <w:rFonts w:hint="eastAsia" w:ascii="宋体" w:hAnsi="宋体" w:eastAsia="宋体" w:cs="宋体"/>
                <w:sz w:val="21"/>
                <w:szCs w:val="21"/>
              </w:rPr>
              <w:t>8、具有数据块采集，能精准获取数据的功能。</w:t>
            </w:r>
          </w:p>
          <w:p>
            <w:pPr>
              <w:spacing w:line="240" w:lineRule="auto"/>
              <w:rPr>
                <w:rFonts w:hint="eastAsia" w:ascii="宋体" w:hAnsi="宋体" w:eastAsia="宋体" w:cs="宋体"/>
                <w:sz w:val="21"/>
                <w:szCs w:val="21"/>
              </w:rPr>
            </w:pPr>
            <w:r>
              <w:rPr>
                <w:rFonts w:hint="eastAsia" w:ascii="宋体" w:hAnsi="宋体" w:eastAsia="宋体" w:cs="宋体"/>
                <w:sz w:val="21"/>
                <w:szCs w:val="21"/>
              </w:rPr>
              <w:t>9、采用柔性网络架构，可进行灵活的网络部署。</w:t>
            </w:r>
          </w:p>
          <w:p>
            <w:pPr>
              <w:spacing w:line="240" w:lineRule="auto"/>
              <w:rPr>
                <w:rFonts w:hint="eastAsia" w:ascii="宋体" w:hAnsi="宋体" w:eastAsia="宋体" w:cs="宋体"/>
                <w:sz w:val="21"/>
                <w:szCs w:val="21"/>
              </w:rPr>
            </w:pPr>
            <w:r>
              <w:rPr>
                <w:rFonts w:hint="eastAsia" w:ascii="宋体" w:hAnsi="宋体" w:eastAsia="宋体" w:cs="宋体"/>
                <w:sz w:val="21"/>
                <w:szCs w:val="21"/>
              </w:rPr>
              <w:t>10、具有良好的开放性能，能轻松与第三方软件进行数据交换。</w:t>
            </w:r>
          </w:p>
          <w:p>
            <w:pPr>
              <w:spacing w:line="240" w:lineRule="auto"/>
              <w:rPr>
                <w:rFonts w:hint="eastAsia" w:ascii="宋体" w:hAnsi="宋体" w:eastAsia="宋体" w:cs="宋体"/>
                <w:sz w:val="21"/>
                <w:szCs w:val="21"/>
              </w:rPr>
            </w:pPr>
            <w:r>
              <w:rPr>
                <w:rFonts w:hint="eastAsia" w:ascii="宋体" w:hAnsi="宋体" w:eastAsia="宋体" w:cs="宋体"/>
                <w:sz w:val="21"/>
                <w:szCs w:val="21"/>
              </w:rPr>
              <w:t>11、具有完善的报警功能，便于故障监控和决策。</w:t>
            </w:r>
          </w:p>
          <w:p>
            <w:pPr>
              <w:spacing w:line="240" w:lineRule="auto"/>
              <w:jc w:val="left"/>
              <w:rPr>
                <w:rFonts w:hint="eastAsia" w:ascii="宋体" w:hAnsi="宋体" w:eastAsia="宋体" w:cs="宋体"/>
                <w:b/>
                <w:bCs/>
                <w:kern w:val="0"/>
                <w:sz w:val="21"/>
                <w:szCs w:val="21"/>
              </w:rPr>
            </w:pPr>
            <w:r>
              <w:rPr>
                <w:rFonts w:hint="eastAsia" w:ascii="宋体" w:hAnsi="宋体" w:eastAsia="宋体" w:cs="宋体"/>
                <w:color w:val="333333"/>
                <w:sz w:val="21"/>
                <w:szCs w:val="21"/>
              </w:rPr>
              <w:t>12、具有强大的历史服务与展示功能，可查询实时数据和历史数据。</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15</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智能化仪表</w:t>
            </w:r>
          </w:p>
        </w:tc>
        <w:tc>
          <w:tcPr>
            <w:tcW w:w="10468"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可设定输入输出模拟量，并自带干节点输出，设置报警联动</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技术要求：输入相电压AC220V；接线方式三相四线；输入电流AC 5A变比自设；3路三相回路检测；准确级0.5级。</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通讯协议：RS485接口 Modbus/RTU协议</w:t>
            </w:r>
          </w:p>
          <w:p>
            <w:pPr>
              <w:spacing w:line="240" w:lineRule="auto"/>
              <w:jc w:val="left"/>
              <w:rPr>
                <w:rFonts w:hint="eastAsia" w:ascii="宋体" w:hAnsi="宋体" w:eastAsia="宋体" w:cs="宋体"/>
                <w:b/>
                <w:bCs/>
                <w:kern w:val="0"/>
                <w:sz w:val="21"/>
                <w:szCs w:val="21"/>
              </w:rPr>
            </w:pPr>
            <w:r>
              <w:rPr>
                <w:rFonts w:hint="eastAsia" w:ascii="宋体" w:hAnsi="宋体" w:eastAsia="宋体" w:cs="宋体"/>
                <w:color w:val="000000" w:themeColor="text1"/>
                <w:sz w:val="21"/>
                <w:szCs w:val="21"/>
                <w14:textFill>
                  <w14:solidFill>
                    <w14:schemeClr w14:val="tx1"/>
                  </w14:solidFill>
                </w14:textFill>
              </w:rPr>
              <w:t>辅助电源：AC/DC220V</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台</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16</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工业控制设备安全防护系统</w:t>
            </w:r>
          </w:p>
        </w:tc>
        <w:tc>
          <w:tcPr>
            <w:tcW w:w="10468" w:type="dxa"/>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终端管理</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支持展示终端资产状况，包括：主机名、在线/离线状态、IPv4地址、MAC地址、操作系统、终端agent版本、病毒库版本、最近登录时间、最近登录的用户名；终端信息变更能自动更新。</w:t>
            </w:r>
          </w:p>
          <w:p>
            <w:pPr>
              <w:spacing w:line="240" w:lineRule="auto"/>
              <w:rPr>
                <w:rFonts w:hint="eastAsia" w:ascii="宋体" w:hAnsi="宋体" w:eastAsia="宋体" w:cs="宋体"/>
                <w:sz w:val="21"/>
                <w:szCs w:val="21"/>
              </w:rPr>
            </w:pPr>
            <w:r>
              <w:rPr>
                <w:rFonts w:hint="eastAsia" w:ascii="宋体" w:hAnsi="宋体" w:eastAsia="宋体" w:cs="宋体"/>
                <w:color w:val="000000"/>
                <w:sz w:val="21"/>
                <w:szCs w:val="21"/>
              </w:rPr>
              <w:t>2、支持录入终端所属责任人、责任人联系方式、邮箱、资产编号、资产位置信息，并可设置哪些为必填项，以便于进行终端资产管理。</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3、支持以安全策略模板方式对指定终端组快速部署安全策略，安全策略模板支持默认模板和自定义模板。</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4、支持安全策略一体化配置，通过一条策略即可实现不同安全功能的配置，包括：终端病毒查杀的文件扫描配置、文件实时监控的参数配置、WebShell检测和威胁处置方式、暴力破解的威胁处置方式和Windows白名单信任目录</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多维度检测</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5、具备基于人工智能的检测引擎，具备无特征检测技术，有效应对恶意代码及其变种。</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6、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p>
          <w:p>
            <w:pPr>
              <w:spacing w:line="240" w:lineRule="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color w:val="000000"/>
                <w:sz w:val="21"/>
                <w:szCs w:val="21"/>
              </w:rPr>
              <w:t>支持本地查杀缓存，具备二级缓存机制：终端侧使用全盘文件缓存，加速本地二次扫描速度，减少对本地虚拟化环境的资源消耗；管理平台侧使用全网文件缓存，加速云查杀速度，减少通过互联网进行云查杀的带宽消耗。</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8、可通过多维度引擎进行漏斗式检测，保障查杀效果在低误报率的情况下保持高检出率。</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勒索病毒专防</w:t>
            </w:r>
          </w:p>
          <w:p>
            <w:pPr>
              <w:numPr>
                <w:ilvl w:val="0"/>
                <w:numId w:val="0"/>
              </w:numPr>
              <w:spacing w:line="240" w:lineRule="auto"/>
              <w:ind w:leftChars="0"/>
              <w:rPr>
                <w:rFonts w:hint="eastAsia" w:ascii="宋体" w:hAnsi="宋体" w:eastAsia="宋体" w:cs="宋体"/>
                <w:color w:val="000000"/>
                <w:sz w:val="21"/>
                <w:szCs w:val="21"/>
              </w:rPr>
            </w:pPr>
            <w:r>
              <w:rPr>
                <w:rFonts w:hint="default" w:ascii="宋体" w:hAnsi="宋体" w:cs="宋体"/>
                <w:color w:val="000000"/>
                <w:sz w:val="21"/>
                <w:szCs w:val="21"/>
              </w:rPr>
              <w:t>9</w:t>
            </w:r>
            <w:r>
              <w:rPr>
                <w:rFonts w:hint="eastAsia" w:ascii="宋体" w:hAnsi="宋体" w:cs="宋体"/>
                <w:color w:val="000000"/>
                <w:sz w:val="21"/>
                <w:szCs w:val="21"/>
                <w:lang w:eastAsia="zh-Hans"/>
              </w:rPr>
              <w:t>、</w:t>
            </w:r>
            <w:r>
              <w:rPr>
                <w:rFonts w:hint="eastAsia" w:ascii="宋体" w:hAnsi="宋体" w:eastAsia="宋体" w:cs="宋体"/>
                <w:color w:val="000000"/>
                <w:sz w:val="21"/>
                <w:szCs w:val="21"/>
              </w:rPr>
              <w:t>支持监控诱饵文件，诱饵文件可被实时监控，当勒索病毒对该文件进行修改或加密操作时进行拦截。</w:t>
            </w:r>
          </w:p>
          <w:p>
            <w:pPr>
              <w:numPr>
                <w:ilvl w:val="0"/>
                <w:numId w:val="0"/>
              </w:numPr>
              <w:spacing w:line="24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暴力破解检测</w:t>
            </w:r>
          </w:p>
          <w:p>
            <w:pPr>
              <w:numPr>
                <w:ilvl w:val="0"/>
                <w:numId w:val="0"/>
              </w:numPr>
              <w:spacing w:line="240" w:lineRule="auto"/>
              <w:ind w:leftChars="0"/>
              <w:rPr>
                <w:rFonts w:hint="eastAsia" w:ascii="宋体" w:hAnsi="宋体" w:eastAsia="宋体" w:cs="宋体"/>
                <w:color w:val="000000"/>
                <w:sz w:val="21"/>
                <w:szCs w:val="21"/>
              </w:rPr>
            </w:pPr>
            <w:r>
              <w:rPr>
                <w:rFonts w:hint="default" w:ascii="宋体" w:hAnsi="宋体" w:cs="宋体"/>
                <w:color w:val="000000"/>
                <w:sz w:val="21"/>
                <w:szCs w:val="21"/>
              </w:rPr>
              <w:t>10</w:t>
            </w:r>
            <w:r>
              <w:rPr>
                <w:rFonts w:hint="eastAsia" w:ascii="宋体" w:hAnsi="宋体" w:cs="宋体"/>
                <w:color w:val="000000"/>
                <w:sz w:val="21"/>
                <w:szCs w:val="21"/>
                <w:lang w:eastAsia="zh-Hans"/>
              </w:rPr>
              <w:t>、</w:t>
            </w:r>
            <w:r>
              <w:rPr>
                <w:rFonts w:hint="eastAsia" w:ascii="宋体" w:hAnsi="宋体" w:eastAsia="宋体" w:cs="宋体"/>
                <w:color w:val="000000"/>
                <w:sz w:val="21"/>
                <w:szCs w:val="21"/>
              </w:rPr>
              <w:t>统计单个攻击源及分布式攻击源的暴力破解检测，支持按照RDP、SMB和SSH类型进行封堵并自定义爆破阈值，可对封停时间进行自设置。</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11、支持展示终端检测到的暴力破解事件及事件详情，包括：攻击源、攻击类型、最后攻击时间、发现方式、攻击内容、攻击历史。</w:t>
            </w:r>
          </w:p>
          <w:p>
            <w:pPr>
              <w:spacing w:line="240" w:lineRule="auto"/>
              <w:rPr>
                <w:rFonts w:hint="eastAsia" w:ascii="宋体" w:hAnsi="宋体" w:eastAsia="宋体" w:cs="宋体"/>
                <w:sz w:val="21"/>
                <w:szCs w:val="21"/>
              </w:rPr>
            </w:pPr>
            <w:r>
              <w:rPr>
                <w:rFonts w:hint="eastAsia" w:ascii="宋体" w:hAnsi="宋体" w:eastAsia="宋体" w:cs="宋体"/>
                <w:color w:val="000000"/>
                <w:sz w:val="21"/>
                <w:szCs w:val="21"/>
              </w:rPr>
              <w:t>12、支持防暴力破解IP白名单，白名单中的IP不告警也不做封堵；IP白名单的设置支持IP、IP段、IP/子网掩码的不同设置方式。</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终端合规检查</w:t>
            </w:r>
          </w:p>
          <w:p>
            <w:pPr>
              <w:numPr>
                <w:ilvl w:val="0"/>
                <w:numId w:val="6"/>
              </w:numPr>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一键式操作对指定终端/终端组进行合规性检查，包括身份鉴别、访问控制、安全审计、SSH策略检测、入侵防范、恶意代码防范，对不合规的检查项提供设置建议，并可视化展示终端的基线合规检查结果。</w:t>
            </w:r>
          </w:p>
          <w:p>
            <w:pPr>
              <w:numPr>
                <w:ilvl w:val="0"/>
                <w:numId w:val="6"/>
              </w:numPr>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终端漏洞管理及补丁管理</w:t>
            </w:r>
          </w:p>
          <w:p>
            <w:pPr>
              <w:spacing w:line="240" w:lineRule="auto"/>
              <w:rPr>
                <w:rFonts w:hint="eastAsia" w:ascii="宋体" w:hAnsi="宋体" w:eastAsia="宋体" w:cs="宋体"/>
                <w:b/>
                <w:bCs/>
                <w:kern w:val="0"/>
                <w:sz w:val="21"/>
                <w:szCs w:val="21"/>
              </w:rPr>
            </w:pPr>
            <w:r>
              <w:rPr>
                <w:rFonts w:hint="eastAsia" w:ascii="宋体" w:hAnsi="宋体" w:eastAsia="宋体" w:cs="宋体"/>
                <w:color w:val="000000"/>
                <w:sz w:val="21"/>
                <w:szCs w:val="21"/>
              </w:rPr>
              <w:t>14、支持对终端的漏洞情况进行扫描，并查看漏洞具体情况及KB号，并显示具体修复情况。</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17</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实验室管理系统平台</w:t>
            </w:r>
          </w:p>
        </w:tc>
        <w:tc>
          <w:tcPr>
            <w:tcW w:w="10468"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1、支持B /S管理架构，可通过移动设备通过网页方式对机房进行远程管理，包括远程开关机、时间同步、系统切换、消息广播等操作</w:t>
            </w:r>
          </w:p>
          <w:p>
            <w:pPr>
              <w:spacing w:line="240" w:lineRule="auto"/>
              <w:rPr>
                <w:rFonts w:hint="eastAsia" w:ascii="宋体" w:hAnsi="宋体" w:eastAsia="宋体" w:cs="宋体"/>
                <w:sz w:val="21"/>
                <w:szCs w:val="21"/>
              </w:rPr>
            </w:pPr>
            <w:r>
              <w:rPr>
                <w:rFonts w:hint="eastAsia" w:ascii="宋体" w:hAnsi="宋体" w:eastAsia="宋体" w:cs="宋体"/>
                <w:sz w:val="21"/>
                <w:szCs w:val="21"/>
              </w:rPr>
              <w:t>2、支持对Ubuntu、Redhat、Centos、Fedora等系统的立即还原和ip地址自动分配</w:t>
            </w:r>
          </w:p>
          <w:p>
            <w:pPr>
              <w:spacing w:line="240" w:lineRule="auto"/>
              <w:rPr>
                <w:rFonts w:hint="eastAsia" w:ascii="宋体" w:hAnsi="宋体" w:eastAsia="宋体" w:cs="宋体"/>
                <w:sz w:val="21"/>
                <w:szCs w:val="21"/>
              </w:rPr>
            </w:pPr>
            <w:r>
              <w:rPr>
                <w:rFonts w:hint="eastAsia" w:ascii="宋体" w:hAnsi="宋体" w:eastAsia="宋体" w:cs="宋体"/>
                <w:sz w:val="21"/>
                <w:szCs w:val="21"/>
              </w:rPr>
              <w:t>3、支持电脑本地硬盘操作系统（xp\win7 \win10\linux）的立即还原和还原点瞬间创建</w:t>
            </w:r>
          </w:p>
          <w:p>
            <w:pPr>
              <w:spacing w:line="240" w:lineRule="auto"/>
              <w:rPr>
                <w:rFonts w:hint="eastAsia" w:ascii="宋体" w:hAnsi="宋体" w:eastAsia="宋体" w:cs="宋体"/>
                <w:sz w:val="21"/>
                <w:szCs w:val="21"/>
              </w:rPr>
            </w:pPr>
            <w:r>
              <w:rPr>
                <w:rFonts w:hint="eastAsia" w:ascii="宋体" w:hAnsi="宋体" w:eastAsia="宋体" w:cs="宋体"/>
                <w:sz w:val="21"/>
                <w:szCs w:val="21"/>
                <w:shd w:val="clear" w:color="auto" w:fill="FFFFFF"/>
              </w:rPr>
              <w:t>4、支持</w:t>
            </w:r>
            <w:r>
              <w:rPr>
                <w:rFonts w:hint="eastAsia" w:ascii="宋体" w:hAnsi="宋体" w:eastAsia="宋体" w:cs="宋体"/>
                <w:sz w:val="21"/>
                <w:szCs w:val="21"/>
              </w:rPr>
              <w:t>MBR分区系统和GPT分区系统混合安装,可支持60个以上的不同操作系统。</w:t>
            </w:r>
          </w:p>
          <w:p>
            <w:pPr>
              <w:spacing w:line="24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shd w:val="clear" w:color="auto" w:fill="FFFFFF"/>
              </w:rPr>
              <w:t>支持SSD硬盘和机械硬盘双硬盘保护模式和同传</w:t>
            </w:r>
          </w:p>
          <w:p>
            <w:pPr>
              <w:spacing w:line="240" w:lineRule="auto"/>
              <w:rPr>
                <w:rFonts w:hint="eastAsia" w:ascii="宋体" w:hAnsi="宋体" w:eastAsia="宋体" w:cs="宋体"/>
                <w:sz w:val="21"/>
                <w:szCs w:val="21"/>
              </w:rPr>
            </w:pPr>
            <w:r>
              <w:rPr>
                <w:rFonts w:hint="eastAsia" w:ascii="宋体" w:hAnsi="宋体" w:eastAsia="宋体" w:cs="宋体"/>
                <w:sz w:val="21"/>
                <w:szCs w:val="21"/>
                <w:shd w:val="clear" w:color="auto" w:fill="FFFFFF"/>
              </w:rPr>
              <w:t>6、支持从WINDOWS界面对1000台以上的电脑进行数据差异拷贝，非增量拷贝、变量拷贝、进度同步等上一代部署方式。根据网络状况可选择广播、组播、单播等方式</w:t>
            </w:r>
          </w:p>
          <w:p>
            <w:pPr>
              <w:spacing w:line="240" w:lineRule="auto"/>
              <w:rPr>
                <w:rFonts w:hint="eastAsia" w:ascii="宋体" w:hAnsi="宋体" w:eastAsia="宋体" w:cs="宋体"/>
                <w:sz w:val="21"/>
                <w:szCs w:val="21"/>
                <w:shd w:val="clear" w:color="auto" w:fill="FFFFFF"/>
              </w:rPr>
            </w:pPr>
            <w:r>
              <w:rPr>
                <w:rFonts w:hint="eastAsia" w:ascii="宋体" w:hAnsi="宋体" w:eastAsia="宋体" w:cs="宋体"/>
                <w:sz w:val="21"/>
                <w:szCs w:val="21"/>
              </w:rPr>
              <w:t>7、</w:t>
            </w:r>
            <w:r>
              <w:rPr>
                <w:rFonts w:hint="eastAsia" w:ascii="宋体" w:hAnsi="宋体" w:eastAsia="宋体" w:cs="宋体"/>
                <w:sz w:val="21"/>
                <w:szCs w:val="21"/>
                <w:shd w:val="clear" w:color="auto" w:fill="FFFFFF"/>
              </w:rPr>
              <w:t>支持操作系统分权管理，可分配不同的管理员管理不同的操作系统。</w:t>
            </w:r>
          </w:p>
          <w:p>
            <w:pPr>
              <w:spacing w:line="240" w:lineRule="auto"/>
              <w:rPr>
                <w:rFonts w:hint="eastAsia" w:ascii="宋体" w:hAnsi="宋体" w:eastAsia="宋体" w:cs="宋体"/>
                <w:sz w:val="21"/>
                <w:szCs w:val="21"/>
              </w:rPr>
            </w:pPr>
            <w:r>
              <w:rPr>
                <w:rFonts w:hint="eastAsia" w:ascii="宋体" w:hAnsi="宋体" w:eastAsia="宋体" w:cs="宋体"/>
                <w:sz w:val="21"/>
                <w:szCs w:val="21"/>
                <w:shd w:val="clear" w:color="auto" w:fill="FFFFFF"/>
              </w:rPr>
              <w:t>8、管理员可给教师单独分配用户名和密码，教师可凭此用户名和密码在教学的电脑上瞬间创建自己独立的备课系统，其他人员不可见，也不影响正常的教学系统</w:t>
            </w:r>
          </w:p>
          <w:p>
            <w:pPr>
              <w:spacing w:line="240" w:lineRule="auto"/>
              <w:rPr>
                <w:rFonts w:hint="eastAsia" w:ascii="宋体" w:hAnsi="宋体" w:eastAsia="宋体" w:cs="宋体"/>
                <w:sz w:val="21"/>
                <w:szCs w:val="21"/>
              </w:rPr>
            </w:pPr>
            <w:r>
              <w:rPr>
                <w:rFonts w:hint="eastAsia" w:ascii="宋体" w:hAnsi="宋体" w:eastAsia="宋体" w:cs="宋体"/>
                <w:sz w:val="21"/>
                <w:szCs w:val="21"/>
                <w:shd w:val="clear" w:color="auto" w:fill="FFFFFF"/>
              </w:rPr>
              <w:t>9、支持将当前的教学系统，无需新增分区的情况下瞬间复制一个不保护的系统，用于学生自主实验或计算机等级考试</w:t>
            </w:r>
          </w:p>
          <w:p>
            <w:pPr>
              <w:spacing w:line="240" w:lineRule="auto"/>
              <w:rPr>
                <w:rFonts w:hint="eastAsia" w:ascii="宋体" w:hAnsi="宋体" w:eastAsia="宋体" w:cs="宋体"/>
                <w:sz w:val="21"/>
                <w:szCs w:val="21"/>
              </w:rPr>
            </w:pPr>
            <w:r>
              <w:rPr>
                <w:rFonts w:hint="eastAsia" w:ascii="宋体" w:hAnsi="宋体" w:eastAsia="宋体" w:cs="宋体"/>
                <w:sz w:val="21"/>
                <w:szCs w:val="21"/>
              </w:rPr>
              <w:t>10、支持批量修改Windows用户登录名、计算机名和IP地址</w:t>
            </w:r>
          </w:p>
          <w:p>
            <w:pPr>
              <w:spacing w:line="240" w:lineRule="auto"/>
              <w:rPr>
                <w:rFonts w:hint="eastAsia" w:ascii="宋体" w:hAnsi="宋体" w:eastAsia="宋体" w:cs="宋体"/>
                <w:b/>
                <w:bCs/>
                <w:kern w:val="0"/>
                <w:sz w:val="21"/>
                <w:szCs w:val="21"/>
              </w:rPr>
            </w:pPr>
            <w:r>
              <w:rPr>
                <w:rFonts w:hint="eastAsia" w:ascii="宋体" w:hAnsi="宋体" w:eastAsia="宋体" w:cs="宋体"/>
                <w:sz w:val="21"/>
                <w:szCs w:val="21"/>
              </w:rPr>
              <w:t>11、支持对3DMAX、CAD等图形设计、工程设计类软件的统一注册，无需手动逐台激活</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18</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镜像交换机</w:t>
            </w:r>
          </w:p>
        </w:tc>
        <w:tc>
          <w:tcPr>
            <w:tcW w:w="10468"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1.端口：24个10/100/1000Base-T端口，</w:t>
            </w:r>
          </w:p>
          <w:p>
            <w:pPr>
              <w:spacing w:line="240" w:lineRule="auto"/>
              <w:rPr>
                <w:rFonts w:hint="eastAsia" w:ascii="宋体" w:hAnsi="宋体" w:eastAsia="宋体" w:cs="宋体"/>
                <w:sz w:val="21"/>
                <w:szCs w:val="21"/>
              </w:rPr>
            </w:pPr>
            <w:r>
              <w:rPr>
                <w:rFonts w:hint="eastAsia" w:ascii="宋体" w:hAnsi="宋体" w:eastAsia="宋体" w:cs="宋体"/>
                <w:sz w:val="21"/>
                <w:szCs w:val="21"/>
              </w:rPr>
              <w:t>2.4个1000Base-X SFP端口，1个Console口</w:t>
            </w:r>
          </w:p>
          <w:p>
            <w:pPr>
              <w:spacing w:line="240" w:lineRule="auto"/>
              <w:rPr>
                <w:rFonts w:hint="eastAsia" w:ascii="宋体" w:hAnsi="宋体" w:eastAsia="宋体" w:cs="宋体"/>
                <w:sz w:val="21"/>
                <w:szCs w:val="21"/>
              </w:rPr>
            </w:pPr>
            <w:r>
              <w:rPr>
                <w:rFonts w:hint="eastAsia" w:ascii="宋体" w:hAnsi="宋体" w:eastAsia="宋体" w:cs="宋体"/>
                <w:sz w:val="21"/>
                <w:szCs w:val="21"/>
              </w:rPr>
              <w:t>3.交换容量：256Gbps</w:t>
            </w:r>
          </w:p>
          <w:p>
            <w:pPr>
              <w:spacing w:line="240" w:lineRule="auto"/>
              <w:rPr>
                <w:rFonts w:hint="eastAsia" w:ascii="宋体" w:hAnsi="宋体" w:eastAsia="宋体" w:cs="宋体"/>
                <w:sz w:val="21"/>
                <w:szCs w:val="21"/>
              </w:rPr>
            </w:pPr>
            <w:r>
              <w:rPr>
                <w:rFonts w:hint="eastAsia" w:ascii="宋体" w:hAnsi="宋体" w:eastAsia="宋体" w:cs="宋体"/>
                <w:sz w:val="21"/>
                <w:szCs w:val="21"/>
              </w:rPr>
              <w:t>4.包转发率：78Mpps</w:t>
            </w:r>
          </w:p>
          <w:p>
            <w:pPr>
              <w:spacing w:line="240" w:lineRule="auto"/>
              <w:rPr>
                <w:rFonts w:hint="eastAsia" w:ascii="宋体" w:hAnsi="宋体" w:eastAsia="宋体" w:cs="宋体"/>
                <w:sz w:val="21"/>
                <w:szCs w:val="21"/>
              </w:rPr>
            </w:pPr>
            <w:r>
              <w:rPr>
                <w:rFonts w:hint="eastAsia" w:ascii="宋体" w:hAnsi="宋体" w:eastAsia="宋体" w:cs="宋体"/>
                <w:sz w:val="21"/>
                <w:szCs w:val="21"/>
              </w:rPr>
              <w:t>5.端口汇聚：支持LACP，支持手工聚合，每个聚合组最大支持8个端口</w:t>
            </w:r>
          </w:p>
          <w:p>
            <w:pPr>
              <w:spacing w:line="240" w:lineRule="auto"/>
              <w:rPr>
                <w:rFonts w:hint="eastAsia" w:ascii="宋体" w:hAnsi="宋体" w:eastAsia="宋体" w:cs="宋体"/>
                <w:sz w:val="21"/>
                <w:szCs w:val="21"/>
              </w:rPr>
            </w:pPr>
            <w:r>
              <w:rPr>
                <w:rFonts w:hint="eastAsia" w:ascii="宋体" w:hAnsi="宋体" w:eastAsia="宋体" w:cs="宋体"/>
                <w:sz w:val="21"/>
                <w:szCs w:val="21"/>
              </w:rPr>
              <w:t>6．二层环网协议：支持STP/RSTP/MSTP</w:t>
            </w:r>
          </w:p>
          <w:p>
            <w:pPr>
              <w:spacing w:line="240" w:lineRule="auto"/>
              <w:rPr>
                <w:rFonts w:hint="eastAsia" w:ascii="宋体" w:hAnsi="宋体" w:eastAsia="宋体" w:cs="宋体"/>
                <w:sz w:val="21"/>
                <w:szCs w:val="21"/>
              </w:rPr>
            </w:pPr>
            <w:r>
              <w:rPr>
                <w:rFonts w:hint="eastAsia" w:ascii="宋体" w:hAnsi="宋体" w:eastAsia="宋体" w:cs="宋体"/>
                <w:sz w:val="21"/>
                <w:szCs w:val="21"/>
              </w:rPr>
              <w:t>7.VLAN：支持基于端口的VLAN</w:t>
            </w:r>
          </w:p>
          <w:p>
            <w:pPr>
              <w:spacing w:line="240" w:lineRule="auto"/>
              <w:rPr>
                <w:rFonts w:hint="eastAsia" w:ascii="宋体" w:hAnsi="宋体" w:eastAsia="宋体" w:cs="宋体"/>
                <w:sz w:val="21"/>
                <w:szCs w:val="21"/>
              </w:rPr>
            </w:pPr>
            <w:r>
              <w:rPr>
                <w:rFonts w:hint="eastAsia" w:ascii="宋体" w:hAnsi="宋体" w:eastAsia="宋体" w:cs="宋体"/>
                <w:sz w:val="21"/>
                <w:szCs w:val="21"/>
              </w:rPr>
              <w:t>支持基于MAC的VLAN</w:t>
            </w:r>
          </w:p>
          <w:p>
            <w:pPr>
              <w:spacing w:line="240" w:lineRule="auto"/>
              <w:rPr>
                <w:rFonts w:hint="eastAsia" w:ascii="宋体" w:hAnsi="宋体" w:eastAsia="宋体" w:cs="宋体"/>
                <w:sz w:val="21"/>
                <w:szCs w:val="21"/>
              </w:rPr>
            </w:pPr>
            <w:r>
              <w:rPr>
                <w:rFonts w:hint="eastAsia" w:ascii="宋体" w:hAnsi="宋体" w:eastAsia="宋体" w:cs="宋体"/>
                <w:sz w:val="21"/>
                <w:szCs w:val="21"/>
              </w:rPr>
              <w:t>支持GUEST VLAN</w:t>
            </w:r>
          </w:p>
          <w:p>
            <w:pPr>
              <w:spacing w:line="240" w:lineRule="auto"/>
              <w:rPr>
                <w:rFonts w:hint="eastAsia" w:ascii="宋体" w:hAnsi="宋体" w:eastAsia="宋体" w:cs="宋体"/>
                <w:sz w:val="21"/>
                <w:szCs w:val="21"/>
              </w:rPr>
            </w:pPr>
            <w:r>
              <w:rPr>
                <w:rFonts w:hint="eastAsia" w:ascii="宋体" w:hAnsi="宋体" w:eastAsia="宋体" w:cs="宋体"/>
                <w:sz w:val="21"/>
                <w:szCs w:val="21"/>
              </w:rPr>
              <w:t>8.DHCP：支持DHCP Client</w:t>
            </w:r>
          </w:p>
          <w:p>
            <w:pPr>
              <w:spacing w:line="240" w:lineRule="auto"/>
              <w:rPr>
                <w:rFonts w:hint="eastAsia" w:ascii="宋体" w:hAnsi="宋体" w:eastAsia="宋体" w:cs="宋体"/>
                <w:sz w:val="21"/>
                <w:szCs w:val="21"/>
              </w:rPr>
            </w:pPr>
            <w:r>
              <w:rPr>
                <w:rFonts w:hint="eastAsia" w:ascii="宋体" w:hAnsi="宋体" w:eastAsia="宋体" w:cs="宋体"/>
                <w:sz w:val="21"/>
                <w:szCs w:val="21"/>
              </w:rPr>
              <w:t>支持DHCP Relay</w:t>
            </w:r>
          </w:p>
          <w:p>
            <w:pPr>
              <w:spacing w:line="240" w:lineRule="auto"/>
              <w:rPr>
                <w:rFonts w:hint="eastAsia" w:ascii="宋体" w:hAnsi="宋体" w:eastAsia="宋体" w:cs="宋体"/>
                <w:sz w:val="21"/>
                <w:szCs w:val="21"/>
              </w:rPr>
            </w:pPr>
            <w:r>
              <w:rPr>
                <w:rFonts w:hint="eastAsia" w:ascii="宋体" w:hAnsi="宋体" w:eastAsia="宋体" w:cs="宋体"/>
                <w:sz w:val="21"/>
                <w:szCs w:val="21"/>
              </w:rPr>
              <w:t>支持DHCP Snooping</w:t>
            </w:r>
          </w:p>
          <w:p>
            <w:pPr>
              <w:spacing w:line="240" w:lineRule="auto"/>
              <w:rPr>
                <w:rFonts w:hint="eastAsia" w:ascii="宋体" w:hAnsi="宋体" w:eastAsia="宋体" w:cs="宋体"/>
                <w:sz w:val="21"/>
                <w:szCs w:val="21"/>
              </w:rPr>
            </w:pPr>
            <w:r>
              <w:rPr>
                <w:rFonts w:hint="eastAsia" w:ascii="宋体" w:hAnsi="宋体" w:eastAsia="宋体" w:cs="宋体"/>
                <w:sz w:val="21"/>
                <w:szCs w:val="21"/>
              </w:rPr>
              <w:t>支持DHCP Snooping Option82</w:t>
            </w:r>
          </w:p>
          <w:p>
            <w:pPr>
              <w:spacing w:line="240" w:lineRule="auto"/>
              <w:rPr>
                <w:rFonts w:hint="eastAsia" w:ascii="宋体" w:hAnsi="宋体" w:eastAsia="宋体" w:cs="宋体"/>
                <w:sz w:val="21"/>
                <w:szCs w:val="21"/>
              </w:rPr>
            </w:pPr>
            <w:r>
              <w:rPr>
                <w:rFonts w:hint="eastAsia" w:ascii="宋体" w:hAnsi="宋体" w:eastAsia="宋体" w:cs="宋体"/>
                <w:sz w:val="21"/>
                <w:szCs w:val="21"/>
              </w:rPr>
              <w:t>系统管理：支持Console/AUX Modem/Telnet/SSH2.0 命令行配置</w:t>
            </w:r>
          </w:p>
          <w:p>
            <w:pPr>
              <w:spacing w:line="240" w:lineRule="auto"/>
              <w:rPr>
                <w:rFonts w:hint="eastAsia" w:ascii="宋体" w:hAnsi="宋体" w:eastAsia="宋体" w:cs="宋体"/>
                <w:sz w:val="21"/>
                <w:szCs w:val="21"/>
              </w:rPr>
            </w:pPr>
            <w:r>
              <w:rPr>
                <w:rFonts w:hint="eastAsia" w:ascii="宋体" w:hAnsi="宋体" w:eastAsia="宋体" w:cs="宋体"/>
                <w:sz w:val="21"/>
                <w:szCs w:val="21"/>
              </w:rPr>
              <w:t>支持FTP、TFTP、Xmodem、SFTP文件上下载管理</w:t>
            </w:r>
          </w:p>
          <w:p>
            <w:pPr>
              <w:spacing w:line="240" w:lineRule="auto"/>
              <w:jc w:val="left"/>
              <w:rPr>
                <w:rFonts w:hint="eastAsia" w:ascii="宋体" w:hAnsi="宋体" w:eastAsia="宋体" w:cs="宋体"/>
                <w:b/>
                <w:bCs/>
                <w:kern w:val="0"/>
                <w:sz w:val="21"/>
                <w:szCs w:val="21"/>
              </w:rPr>
            </w:pPr>
            <w:r>
              <w:rPr>
                <w:rFonts w:hint="eastAsia" w:ascii="宋体" w:hAnsi="宋体" w:eastAsia="宋体" w:cs="宋体"/>
                <w:sz w:val="21"/>
                <w:szCs w:val="21"/>
              </w:rPr>
              <w:t>支持SNMP V1/V2c/V3 支持RMON 支持NTP时钟  支持系统工作日志 支持集群管理</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台</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19</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科研实验配套课题</w:t>
            </w:r>
          </w:p>
        </w:tc>
        <w:tc>
          <w:tcPr>
            <w:tcW w:w="10468"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1、工控系统与工控安全基础（包含工控系统及工控安全概述、工控安全认知、工控安全态势、工控安全术语）。</w:t>
            </w:r>
          </w:p>
          <w:p>
            <w:pPr>
              <w:spacing w:line="240" w:lineRule="auto"/>
              <w:rPr>
                <w:rFonts w:hint="eastAsia" w:ascii="宋体" w:hAnsi="宋体" w:eastAsia="宋体" w:cs="宋体"/>
                <w:sz w:val="21"/>
                <w:szCs w:val="21"/>
              </w:rPr>
            </w:pPr>
            <w:r>
              <w:rPr>
                <w:rFonts w:hint="eastAsia" w:ascii="宋体" w:hAnsi="宋体" w:eastAsia="宋体" w:cs="宋体"/>
                <w:sz w:val="21"/>
                <w:szCs w:val="21"/>
              </w:rPr>
              <w:t>2、安全协议、标准及政策法规（包含安全协议、工控安全标准、等保2.0及于工控安全的应用）。</w:t>
            </w:r>
          </w:p>
          <w:p>
            <w:pPr>
              <w:spacing w:line="240" w:lineRule="auto"/>
              <w:rPr>
                <w:rFonts w:hint="eastAsia" w:ascii="宋体" w:hAnsi="宋体" w:eastAsia="宋体" w:cs="宋体"/>
                <w:sz w:val="21"/>
                <w:szCs w:val="21"/>
              </w:rPr>
            </w:pPr>
            <w:r>
              <w:rPr>
                <w:rFonts w:hint="eastAsia" w:ascii="宋体" w:hAnsi="宋体" w:eastAsia="宋体" w:cs="宋体"/>
                <w:sz w:val="21"/>
                <w:szCs w:val="21"/>
              </w:rPr>
              <w:t>3、工控安全防护总体思路及保障框架（包含工控安全防御思路、工控安全入侵防御解决方案、工控安全应急响应解决方案）。</w:t>
            </w:r>
          </w:p>
          <w:p>
            <w:pPr>
              <w:spacing w:line="240" w:lineRule="auto"/>
              <w:rPr>
                <w:rFonts w:hint="eastAsia" w:ascii="宋体" w:hAnsi="宋体" w:eastAsia="宋体" w:cs="宋体"/>
                <w:sz w:val="21"/>
                <w:szCs w:val="21"/>
              </w:rPr>
            </w:pPr>
            <w:r>
              <w:rPr>
                <w:rFonts w:hint="eastAsia" w:ascii="宋体" w:hAnsi="宋体" w:eastAsia="宋体" w:cs="宋体"/>
                <w:sz w:val="21"/>
                <w:szCs w:val="21"/>
              </w:rPr>
              <w:t>4、工控安全威胁检测技术（包含工控安全事件检测:工控设备状态检测、工控网络配置检测、工控攻击检测 PLC蠕虫、PLC代理攻击、S7 plus协议破解（含PLC配置操作介绍）、工控脆弱性检测、工控安全检测报告、渗透测试、源代码检测、漏洞扫描、应用系统漏洞扫描、基线检查）。</w:t>
            </w:r>
          </w:p>
          <w:p>
            <w:pPr>
              <w:spacing w:line="240" w:lineRule="auto"/>
              <w:rPr>
                <w:rFonts w:hint="eastAsia" w:ascii="宋体" w:hAnsi="宋体" w:eastAsia="宋体" w:cs="宋体"/>
                <w:sz w:val="21"/>
                <w:szCs w:val="21"/>
              </w:rPr>
            </w:pPr>
            <w:r>
              <w:rPr>
                <w:rFonts w:hint="eastAsia" w:ascii="宋体" w:hAnsi="宋体" w:eastAsia="宋体" w:cs="宋体"/>
                <w:sz w:val="21"/>
                <w:szCs w:val="21"/>
              </w:rPr>
              <w:t>5、工控安全威胁防御技术（包含：工控防御系统-部署、工控安全产品配置等实操、工控安全告警与防御、工控安全策略、智能工控实际操作指导和上手操作、工控漏扫、工业安全评估合规工具、工控审计、工业安全网关、主机安全卫士、工业安全隔离装置等）。</w:t>
            </w:r>
          </w:p>
          <w:p>
            <w:pPr>
              <w:spacing w:line="240" w:lineRule="auto"/>
              <w:rPr>
                <w:rFonts w:hint="eastAsia" w:ascii="宋体" w:hAnsi="宋体" w:eastAsia="宋体" w:cs="宋体"/>
                <w:sz w:val="21"/>
                <w:szCs w:val="21"/>
              </w:rPr>
            </w:pPr>
            <w:r>
              <w:rPr>
                <w:rFonts w:hint="eastAsia" w:ascii="宋体" w:hAnsi="宋体" w:eastAsia="宋体" w:cs="宋体"/>
                <w:sz w:val="21"/>
                <w:szCs w:val="21"/>
              </w:rPr>
              <w:t>6、工控终端漏洞挖掘技术（包含：固件安全测试及漏洞挖掘技术、漏洞挖掘实战，包括工控协议终端、协议漏洞挖掘实战）。</w:t>
            </w:r>
          </w:p>
          <w:p>
            <w:pPr>
              <w:spacing w:line="240" w:lineRule="auto"/>
              <w:rPr>
                <w:rFonts w:hint="eastAsia" w:ascii="宋体" w:hAnsi="宋体" w:eastAsia="宋体" w:cs="宋体"/>
                <w:sz w:val="21"/>
                <w:szCs w:val="21"/>
              </w:rPr>
            </w:pPr>
            <w:r>
              <w:rPr>
                <w:rFonts w:hint="eastAsia" w:ascii="宋体" w:hAnsi="宋体" w:eastAsia="宋体" w:cs="宋体"/>
                <w:sz w:val="21"/>
                <w:szCs w:val="21"/>
              </w:rPr>
              <w:t>7、应急响应实战（包含响应流程、漏洞修补、策略修正、应用调整）。</w:t>
            </w:r>
          </w:p>
          <w:p>
            <w:pPr>
              <w:spacing w:line="240" w:lineRule="auto"/>
              <w:rPr>
                <w:rFonts w:hint="eastAsia" w:ascii="宋体" w:hAnsi="宋体" w:eastAsia="宋体" w:cs="宋体"/>
                <w:sz w:val="21"/>
                <w:szCs w:val="21"/>
              </w:rPr>
            </w:pPr>
            <w:r>
              <w:rPr>
                <w:rFonts w:hint="eastAsia" w:ascii="宋体" w:hAnsi="宋体" w:eastAsia="宋体" w:cs="宋体"/>
                <w:sz w:val="21"/>
                <w:szCs w:val="21"/>
              </w:rPr>
              <w:t>8、工控安全前沿技术研讨（包含工控安全发展趋势、工控安全技术研讨、新威胁复现研讨）。</w:t>
            </w:r>
          </w:p>
          <w:p>
            <w:pPr>
              <w:spacing w:line="240" w:lineRule="auto"/>
              <w:jc w:val="left"/>
              <w:rPr>
                <w:rFonts w:hint="eastAsia" w:ascii="宋体" w:hAnsi="宋体" w:eastAsia="宋体" w:cs="宋体"/>
                <w:b/>
                <w:bCs/>
                <w:kern w:val="0"/>
                <w:sz w:val="21"/>
                <w:szCs w:val="21"/>
              </w:rPr>
            </w:pPr>
            <w:r>
              <w:rPr>
                <w:rFonts w:hint="eastAsia" w:ascii="宋体" w:hAnsi="宋体" w:eastAsia="宋体" w:cs="宋体"/>
                <w:sz w:val="21"/>
                <w:szCs w:val="21"/>
              </w:rPr>
              <w:t>9、提供不低于100个课时的原厂研究员及以上职称人员的驻场师资培训</w:t>
            </w:r>
            <w:r>
              <w:rPr>
                <w:rFonts w:hint="eastAsia" w:ascii="宋体" w:hAnsi="宋体" w:cs="宋体"/>
                <w:sz w:val="21"/>
                <w:szCs w:val="21"/>
                <w:lang w:eastAsia="zh-Hans"/>
              </w:rPr>
              <w:t>。</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20</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控制显示大屏</w:t>
            </w:r>
          </w:p>
        </w:tc>
        <w:tc>
          <w:tcPr>
            <w:tcW w:w="10468"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1.像素间距(mm) 2.5</w:t>
            </w:r>
          </w:p>
          <w:p>
            <w:pPr>
              <w:spacing w:line="240" w:lineRule="auto"/>
              <w:rPr>
                <w:rFonts w:hint="eastAsia" w:ascii="宋体" w:hAnsi="宋体" w:eastAsia="宋体" w:cs="宋体"/>
                <w:sz w:val="21"/>
                <w:szCs w:val="21"/>
              </w:rPr>
            </w:pPr>
            <w:r>
              <w:rPr>
                <w:rFonts w:hint="eastAsia" w:ascii="宋体" w:hAnsi="宋体" w:eastAsia="宋体" w:cs="宋体"/>
                <w:sz w:val="21"/>
                <w:szCs w:val="21"/>
              </w:rPr>
              <w:t>2.像素密度(点/m2) 160000</w:t>
            </w:r>
          </w:p>
          <w:p>
            <w:pPr>
              <w:spacing w:line="240" w:lineRule="auto"/>
              <w:rPr>
                <w:rFonts w:hint="eastAsia" w:ascii="宋体" w:hAnsi="宋体" w:eastAsia="宋体" w:cs="宋体"/>
                <w:sz w:val="21"/>
                <w:szCs w:val="21"/>
              </w:rPr>
            </w:pPr>
            <w:r>
              <w:rPr>
                <w:rFonts w:hint="eastAsia" w:ascii="宋体" w:hAnsi="宋体" w:eastAsia="宋体" w:cs="宋体"/>
                <w:sz w:val="21"/>
                <w:szCs w:val="21"/>
              </w:rPr>
              <w:t>3.像素组成 1R1G1B</w:t>
            </w:r>
          </w:p>
          <w:p>
            <w:pPr>
              <w:spacing w:line="240" w:lineRule="auto"/>
              <w:rPr>
                <w:rFonts w:hint="eastAsia" w:ascii="宋体" w:hAnsi="宋体" w:eastAsia="宋体" w:cs="宋体"/>
                <w:sz w:val="21"/>
                <w:szCs w:val="21"/>
              </w:rPr>
            </w:pPr>
            <w:r>
              <w:rPr>
                <w:rFonts w:hint="eastAsia" w:ascii="宋体" w:hAnsi="宋体" w:eastAsia="宋体" w:cs="宋体"/>
                <w:sz w:val="21"/>
                <w:szCs w:val="21"/>
              </w:rPr>
              <w:t>4.LED灯管 SMD2121灯管</w:t>
            </w:r>
          </w:p>
          <w:p>
            <w:pPr>
              <w:spacing w:line="240" w:lineRule="auto"/>
              <w:rPr>
                <w:rFonts w:hint="eastAsia" w:ascii="宋体" w:hAnsi="宋体" w:eastAsia="宋体" w:cs="宋体"/>
                <w:sz w:val="21"/>
                <w:szCs w:val="21"/>
              </w:rPr>
            </w:pPr>
            <w:r>
              <w:rPr>
                <w:rFonts w:hint="eastAsia" w:ascii="宋体" w:hAnsi="宋体" w:eastAsia="宋体" w:cs="宋体"/>
                <w:sz w:val="21"/>
                <w:szCs w:val="21"/>
              </w:rPr>
              <w:t>5.视角 水平140°，垂直120°</w:t>
            </w:r>
          </w:p>
          <w:p>
            <w:pPr>
              <w:spacing w:line="240" w:lineRule="auto"/>
              <w:rPr>
                <w:rFonts w:hint="eastAsia" w:ascii="宋体" w:hAnsi="宋体" w:eastAsia="宋体" w:cs="宋体"/>
                <w:sz w:val="21"/>
                <w:szCs w:val="21"/>
              </w:rPr>
            </w:pPr>
            <w:r>
              <w:rPr>
                <w:rFonts w:hint="eastAsia" w:ascii="宋体" w:hAnsi="宋体" w:eastAsia="宋体" w:cs="宋体"/>
                <w:sz w:val="21"/>
                <w:szCs w:val="21"/>
              </w:rPr>
              <w:t>6.白平衡亮度(cd/m2) 1200</w:t>
            </w:r>
          </w:p>
          <w:p>
            <w:pPr>
              <w:spacing w:line="240" w:lineRule="auto"/>
              <w:rPr>
                <w:rFonts w:hint="eastAsia" w:ascii="宋体" w:hAnsi="宋体" w:eastAsia="宋体" w:cs="宋体"/>
                <w:sz w:val="21"/>
                <w:szCs w:val="21"/>
              </w:rPr>
            </w:pPr>
            <w:r>
              <w:rPr>
                <w:rFonts w:hint="eastAsia" w:ascii="宋体" w:hAnsi="宋体" w:eastAsia="宋体" w:cs="宋体"/>
                <w:sz w:val="21"/>
                <w:szCs w:val="21"/>
              </w:rPr>
              <w:t>7.驱动方式 1/32扫</w:t>
            </w:r>
          </w:p>
          <w:p>
            <w:pPr>
              <w:spacing w:line="240" w:lineRule="auto"/>
              <w:rPr>
                <w:rFonts w:hint="eastAsia" w:ascii="宋体" w:hAnsi="宋体" w:eastAsia="宋体" w:cs="宋体"/>
                <w:sz w:val="21"/>
                <w:szCs w:val="21"/>
              </w:rPr>
            </w:pPr>
            <w:r>
              <w:rPr>
                <w:rFonts w:hint="eastAsia" w:ascii="宋体" w:hAnsi="宋体" w:eastAsia="宋体" w:cs="宋体"/>
                <w:sz w:val="21"/>
                <w:szCs w:val="21"/>
              </w:rPr>
              <w:t>8.驱动IC 恒流驱动</w:t>
            </w:r>
          </w:p>
          <w:p>
            <w:pPr>
              <w:spacing w:line="240" w:lineRule="auto"/>
              <w:rPr>
                <w:rFonts w:hint="eastAsia" w:ascii="宋体" w:hAnsi="宋体" w:eastAsia="宋体" w:cs="宋体"/>
                <w:sz w:val="21"/>
                <w:szCs w:val="21"/>
              </w:rPr>
            </w:pPr>
            <w:r>
              <w:rPr>
                <w:rFonts w:hint="eastAsia" w:ascii="宋体" w:hAnsi="宋体" w:eastAsia="宋体" w:cs="宋体"/>
                <w:sz w:val="21"/>
                <w:szCs w:val="21"/>
              </w:rPr>
              <w:t>9.灰度等级(级)  16384</w:t>
            </w:r>
          </w:p>
          <w:p>
            <w:pPr>
              <w:spacing w:line="240" w:lineRule="auto"/>
              <w:rPr>
                <w:rFonts w:hint="eastAsia" w:ascii="宋体" w:hAnsi="宋体" w:eastAsia="宋体" w:cs="宋体"/>
                <w:sz w:val="21"/>
                <w:szCs w:val="21"/>
              </w:rPr>
            </w:pPr>
            <w:r>
              <w:rPr>
                <w:rFonts w:hint="eastAsia" w:ascii="宋体" w:hAnsi="宋体" w:eastAsia="宋体" w:cs="宋体"/>
                <w:sz w:val="21"/>
                <w:szCs w:val="21"/>
              </w:rPr>
              <w:t>10.刷新频率(Hz) 1920</w:t>
            </w:r>
          </w:p>
          <w:p>
            <w:pPr>
              <w:spacing w:line="240" w:lineRule="auto"/>
              <w:rPr>
                <w:rFonts w:hint="eastAsia" w:ascii="宋体" w:hAnsi="宋体" w:eastAsia="宋体" w:cs="宋体"/>
                <w:sz w:val="21"/>
                <w:szCs w:val="21"/>
              </w:rPr>
            </w:pPr>
            <w:r>
              <w:rPr>
                <w:rFonts w:hint="eastAsia" w:ascii="宋体" w:hAnsi="宋体" w:eastAsia="宋体" w:cs="宋体"/>
                <w:sz w:val="21"/>
                <w:szCs w:val="21"/>
              </w:rPr>
              <w:t>11.换帧频率(Hz)  60</w:t>
            </w:r>
          </w:p>
          <w:p>
            <w:pPr>
              <w:spacing w:line="240" w:lineRule="auto"/>
              <w:rPr>
                <w:rFonts w:hint="eastAsia" w:ascii="宋体" w:hAnsi="宋体" w:eastAsia="宋体" w:cs="宋体"/>
                <w:sz w:val="21"/>
                <w:szCs w:val="21"/>
              </w:rPr>
            </w:pPr>
            <w:r>
              <w:rPr>
                <w:rFonts w:hint="eastAsia" w:ascii="宋体" w:hAnsi="宋体" w:eastAsia="宋体" w:cs="宋体"/>
                <w:sz w:val="21"/>
                <w:szCs w:val="21"/>
              </w:rPr>
              <w:t>12.亮度调节方式 自动/手动/程控</w:t>
            </w:r>
          </w:p>
          <w:p>
            <w:pPr>
              <w:spacing w:line="240" w:lineRule="auto"/>
              <w:rPr>
                <w:rFonts w:hint="eastAsia" w:ascii="宋体" w:hAnsi="宋体" w:eastAsia="宋体" w:cs="宋体"/>
                <w:sz w:val="21"/>
                <w:szCs w:val="21"/>
              </w:rPr>
            </w:pPr>
            <w:r>
              <w:rPr>
                <w:rFonts w:hint="eastAsia" w:ascii="宋体" w:hAnsi="宋体" w:eastAsia="宋体" w:cs="宋体"/>
                <w:sz w:val="21"/>
                <w:szCs w:val="21"/>
              </w:rPr>
              <w:t>13.亮度/色度均匀性 95%/±0.003</w:t>
            </w:r>
          </w:p>
          <w:p>
            <w:pPr>
              <w:spacing w:line="240" w:lineRule="auto"/>
              <w:rPr>
                <w:rFonts w:hint="eastAsia" w:ascii="宋体" w:hAnsi="宋体" w:eastAsia="宋体" w:cs="宋体"/>
                <w:sz w:val="21"/>
                <w:szCs w:val="21"/>
              </w:rPr>
            </w:pPr>
            <w:r>
              <w:rPr>
                <w:rFonts w:hint="eastAsia" w:ascii="宋体" w:hAnsi="宋体" w:eastAsia="宋体" w:cs="宋体"/>
                <w:sz w:val="21"/>
                <w:szCs w:val="21"/>
              </w:rPr>
              <w:t>14.模块尺寸(mm) 320×160</w:t>
            </w:r>
          </w:p>
          <w:p>
            <w:pPr>
              <w:spacing w:line="240" w:lineRule="auto"/>
              <w:rPr>
                <w:rFonts w:hint="eastAsia" w:ascii="宋体" w:hAnsi="宋体" w:eastAsia="宋体" w:cs="宋体"/>
                <w:sz w:val="21"/>
                <w:szCs w:val="21"/>
              </w:rPr>
            </w:pPr>
            <w:r>
              <w:rPr>
                <w:rFonts w:hint="eastAsia" w:ascii="宋体" w:hAnsi="宋体" w:eastAsia="宋体" w:cs="宋体"/>
                <w:sz w:val="21"/>
                <w:szCs w:val="21"/>
              </w:rPr>
              <w:t>15.模块分辨率(点)128×64</w:t>
            </w:r>
          </w:p>
          <w:p>
            <w:pPr>
              <w:spacing w:line="240" w:lineRule="auto"/>
              <w:rPr>
                <w:rFonts w:hint="eastAsia" w:ascii="宋体" w:hAnsi="宋体" w:eastAsia="宋体" w:cs="宋体"/>
                <w:sz w:val="21"/>
                <w:szCs w:val="21"/>
              </w:rPr>
            </w:pPr>
            <w:r>
              <w:rPr>
                <w:rFonts w:hint="eastAsia" w:ascii="宋体" w:hAnsi="宋体" w:eastAsia="宋体" w:cs="宋体"/>
                <w:sz w:val="21"/>
                <w:szCs w:val="21"/>
              </w:rPr>
              <w:t>16.单元尺寸(mm)576×576</w:t>
            </w:r>
          </w:p>
          <w:p>
            <w:pPr>
              <w:spacing w:line="240" w:lineRule="auto"/>
              <w:rPr>
                <w:rFonts w:hint="eastAsia" w:ascii="宋体" w:hAnsi="宋体" w:eastAsia="宋体" w:cs="宋体"/>
                <w:sz w:val="21"/>
                <w:szCs w:val="21"/>
              </w:rPr>
            </w:pPr>
            <w:r>
              <w:rPr>
                <w:rFonts w:hint="eastAsia" w:ascii="宋体" w:hAnsi="宋体" w:eastAsia="宋体" w:cs="宋体"/>
                <w:sz w:val="21"/>
                <w:szCs w:val="21"/>
              </w:rPr>
              <w:t>17.单元分辨率(点)192×192</w:t>
            </w:r>
          </w:p>
          <w:p>
            <w:pPr>
              <w:spacing w:line="240" w:lineRule="auto"/>
              <w:rPr>
                <w:rFonts w:hint="eastAsia" w:ascii="宋体" w:hAnsi="宋体" w:eastAsia="宋体" w:cs="宋体"/>
                <w:sz w:val="21"/>
                <w:szCs w:val="21"/>
              </w:rPr>
            </w:pPr>
            <w:r>
              <w:rPr>
                <w:rFonts w:hint="eastAsia" w:ascii="宋体" w:hAnsi="宋体" w:eastAsia="宋体" w:cs="宋体"/>
                <w:sz w:val="21"/>
                <w:szCs w:val="21"/>
              </w:rPr>
              <w:t>18.单元材料 托架</w:t>
            </w:r>
          </w:p>
          <w:p>
            <w:pPr>
              <w:spacing w:line="240" w:lineRule="auto"/>
              <w:rPr>
                <w:rFonts w:hint="eastAsia" w:ascii="宋体" w:hAnsi="宋体" w:eastAsia="宋体" w:cs="宋体"/>
                <w:sz w:val="21"/>
                <w:szCs w:val="21"/>
              </w:rPr>
            </w:pPr>
            <w:r>
              <w:rPr>
                <w:rFonts w:hint="eastAsia" w:ascii="宋体" w:hAnsi="宋体" w:eastAsia="宋体" w:cs="宋体"/>
                <w:sz w:val="21"/>
                <w:szCs w:val="21"/>
              </w:rPr>
              <w:t>19.箱体重量（㎏/㎡）40</w:t>
            </w:r>
          </w:p>
          <w:p>
            <w:pPr>
              <w:spacing w:line="240" w:lineRule="auto"/>
              <w:rPr>
                <w:rFonts w:hint="eastAsia" w:ascii="宋体" w:hAnsi="宋体" w:eastAsia="宋体" w:cs="宋体"/>
                <w:sz w:val="21"/>
                <w:szCs w:val="21"/>
              </w:rPr>
            </w:pPr>
            <w:r>
              <w:rPr>
                <w:rFonts w:hint="eastAsia" w:ascii="宋体" w:hAnsi="宋体" w:eastAsia="宋体" w:cs="宋体"/>
                <w:sz w:val="21"/>
                <w:szCs w:val="21"/>
              </w:rPr>
              <w:t>20.工作电压(V)AC100-240</w:t>
            </w:r>
          </w:p>
          <w:p>
            <w:pPr>
              <w:spacing w:line="240" w:lineRule="auto"/>
              <w:rPr>
                <w:rFonts w:hint="eastAsia" w:ascii="宋体" w:hAnsi="宋体" w:eastAsia="宋体" w:cs="宋体"/>
                <w:sz w:val="21"/>
                <w:szCs w:val="21"/>
              </w:rPr>
            </w:pPr>
            <w:r>
              <w:rPr>
                <w:rFonts w:hint="eastAsia" w:ascii="宋体" w:hAnsi="宋体" w:eastAsia="宋体" w:cs="宋体"/>
                <w:sz w:val="21"/>
                <w:szCs w:val="21"/>
              </w:rPr>
              <w:t>21.屏体平均功耗(W/m2) 250</w:t>
            </w:r>
          </w:p>
          <w:p>
            <w:pPr>
              <w:spacing w:line="240" w:lineRule="auto"/>
              <w:rPr>
                <w:rFonts w:hint="eastAsia" w:ascii="宋体" w:hAnsi="宋体" w:eastAsia="宋体" w:cs="宋体"/>
                <w:sz w:val="21"/>
                <w:szCs w:val="21"/>
              </w:rPr>
            </w:pPr>
            <w:r>
              <w:rPr>
                <w:rFonts w:hint="eastAsia" w:ascii="宋体" w:hAnsi="宋体" w:eastAsia="宋体" w:cs="宋体"/>
                <w:sz w:val="21"/>
                <w:szCs w:val="21"/>
              </w:rPr>
              <w:t>22.屏体最大功耗(W/m2) 700</w:t>
            </w:r>
          </w:p>
          <w:p>
            <w:pPr>
              <w:spacing w:line="240" w:lineRule="auto"/>
              <w:rPr>
                <w:rFonts w:hint="eastAsia" w:ascii="宋体" w:hAnsi="宋体" w:eastAsia="宋体" w:cs="宋体"/>
                <w:sz w:val="21"/>
                <w:szCs w:val="21"/>
              </w:rPr>
            </w:pPr>
            <w:r>
              <w:rPr>
                <w:rFonts w:hint="eastAsia" w:ascii="宋体" w:hAnsi="宋体" w:eastAsia="宋体" w:cs="宋体"/>
                <w:sz w:val="21"/>
                <w:szCs w:val="21"/>
              </w:rPr>
              <w:t>23.维护方式 前维护</w:t>
            </w:r>
          </w:p>
          <w:p>
            <w:pPr>
              <w:spacing w:line="240" w:lineRule="auto"/>
              <w:rPr>
                <w:rFonts w:hint="eastAsia" w:ascii="宋体" w:hAnsi="宋体" w:eastAsia="宋体" w:cs="宋体"/>
                <w:sz w:val="21"/>
                <w:szCs w:val="21"/>
              </w:rPr>
            </w:pPr>
            <w:r>
              <w:rPr>
                <w:rFonts w:hint="eastAsia" w:ascii="宋体" w:hAnsi="宋体" w:eastAsia="宋体" w:cs="宋体"/>
                <w:sz w:val="21"/>
                <w:szCs w:val="21"/>
              </w:rPr>
              <w:t>24.IP防护等级 正面IP30</w:t>
            </w:r>
          </w:p>
          <w:p>
            <w:pPr>
              <w:spacing w:line="240" w:lineRule="auto"/>
              <w:rPr>
                <w:rFonts w:hint="eastAsia" w:ascii="宋体" w:hAnsi="宋体" w:eastAsia="宋体" w:cs="宋体"/>
                <w:sz w:val="21"/>
                <w:szCs w:val="21"/>
              </w:rPr>
            </w:pPr>
            <w:r>
              <w:rPr>
                <w:rFonts w:hint="eastAsia" w:ascii="宋体" w:hAnsi="宋体" w:eastAsia="宋体" w:cs="宋体"/>
                <w:sz w:val="21"/>
                <w:szCs w:val="21"/>
              </w:rPr>
              <w:t>25.工作环境(℃ / %RH) -20～+50/10～95</w:t>
            </w:r>
            <w:r>
              <w:rPr>
                <w:rFonts w:hint="eastAsia" w:ascii="宋体" w:hAnsi="宋体" w:eastAsia="宋体" w:cs="宋体"/>
                <w:sz w:val="21"/>
                <w:szCs w:val="21"/>
              </w:rPr>
              <w:br w:type="textWrapping"/>
            </w:r>
            <w:r>
              <w:rPr>
                <w:rFonts w:hint="eastAsia" w:ascii="宋体" w:hAnsi="宋体" w:eastAsia="宋体" w:cs="宋体"/>
                <w:sz w:val="21"/>
                <w:szCs w:val="21"/>
              </w:rPr>
              <w:t>26.储存环境(℃ / %RH) -20～+50/10～95</w:t>
            </w:r>
          </w:p>
          <w:p>
            <w:pPr>
              <w:spacing w:line="240" w:lineRule="auto"/>
              <w:rPr>
                <w:rFonts w:hint="eastAsia" w:ascii="宋体" w:hAnsi="宋体" w:eastAsia="宋体" w:cs="宋体"/>
                <w:sz w:val="21"/>
                <w:szCs w:val="21"/>
              </w:rPr>
            </w:pPr>
            <w:r>
              <w:rPr>
                <w:rFonts w:hint="eastAsia" w:ascii="宋体" w:hAnsi="宋体" w:eastAsia="宋体" w:cs="宋体"/>
                <w:sz w:val="21"/>
                <w:szCs w:val="21"/>
              </w:rPr>
              <w:t>27.LED理论寿命(H) 100000</w:t>
            </w:r>
          </w:p>
          <w:p>
            <w:pPr>
              <w:spacing w:line="240" w:lineRule="auto"/>
              <w:rPr>
                <w:rFonts w:hint="eastAsia" w:ascii="宋体" w:hAnsi="宋体" w:eastAsia="宋体" w:cs="宋体"/>
                <w:sz w:val="21"/>
                <w:szCs w:val="21"/>
              </w:rPr>
            </w:pPr>
            <w:r>
              <w:rPr>
                <w:rFonts w:hint="eastAsia" w:ascii="宋体" w:hAnsi="宋体" w:eastAsia="宋体" w:cs="宋体"/>
                <w:sz w:val="21"/>
                <w:szCs w:val="21"/>
              </w:rPr>
              <w:t>28.控制系统软件 LED播控软件</w:t>
            </w:r>
          </w:p>
          <w:p>
            <w:pPr>
              <w:spacing w:line="240" w:lineRule="auto"/>
              <w:rPr>
                <w:rFonts w:hint="eastAsia" w:ascii="宋体" w:hAnsi="宋体" w:eastAsia="宋体" w:cs="宋体"/>
                <w:b/>
                <w:bCs/>
                <w:kern w:val="0"/>
                <w:sz w:val="21"/>
                <w:szCs w:val="21"/>
              </w:rPr>
            </w:pPr>
            <w:r>
              <w:rPr>
                <w:rFonts w:hint="eastAsia" w:ascii="宋体" w:hAnsi="宋体" w:eastAsia="宋体" w:cs="宋体"/>
                <w:sz w:val="21"/>
                <w:szCs w:val="21"/>
              </w:rPr>
              <w:t>29.视频信号：PAL/NTSC；可输入有线电视，无线电视，卫星电视，DVD，VCD，计算机，录象机，摄像机等信号</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21</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实验室配套桌椅</w:t>
            </w:r>
          </w:p>
        </w:tc>
        <w:tc>
          <w:tcPr>
            <w:tcW w:w="10468" w:type="dxa"/>
          </w:tcPr>
          <w:p>
            <w:pPr>
              <w:spacing w:line="240" w:lineRule="auto"/>
              <w:rPr>
                <w:rFonts w:hint="eastAsia" w:ascii="宋体" w:hAnsi="宋体" w:eastAsia="宋体" w:cs="宋体"/>
                <w:sz w:val="21"/>
                <w:szCs w:val="21"/>
              </w:rPr>
            </w:pPr>
            <w:r>
              <w:rPr>
                <w:rFonts w:hint="default" w:ascii="宋体" w:hAnsi="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Hans"/>
                <w14:textFill>
                  <w14:solidFill>
                    <w14:schemeClr w14:val="tx1"/>
                  </w14:solidFill>
                </w14:textFill>
              </w:rPr>
              <w:t>森健高档实训桌子，</w:t>
            </w:r>
            <w:r>
              <w:rPr>
                <w:rFonts w:hint="eastAsia" w:ascii="宋体" w:hAnsi="宋体" w:eastAsia="宋体" w:cs="宋体"/>
                <w:color w:val="000000" w:themeColor="text1"/>
                <w:sz w:val="21"/>
                <w:szCs w:val="21"/>
                <w14:textFill>
                  <w14:solidFill>
                    <w14:schemeClr w14:val="tx1"/>
                  </w14:solidFill>
                </w14:textFill>
              </w:rPr>
              <w:t>每个工位的桌子桌面采用复合木质坚固耐用，形状美观大方凸凹有致，满足灵活多样的教学要求，并与实验室环境相符，桌子高度70厘米，长度75厘米，宽度60厘米，提供三年的免费上门维护服务</w:t>
            </w:r>
          </w:p>
          <w:p>
            <w:pPr>
              <w:spacing w:line="240" w:lineRule="auto"/>
              <w:jc w:val="left"/>
              <w:rPr>
                <w:rFonts w:hint="eastAsia" w:ascii="宋体" w:hAnsi="宋体" w:eastAsia="宋体" w:cs="宋体"/>
                <w:b/>
                <w:bCs/>
                <w:kern w:val="0"/>
                <w:sz w:val="21"/>
                <w:szCs w:val="21"/>
              </w:rPr>
            </w:pPr>
            <w:r>
              <w:rPr>
                <w:rFonts w:hint="default" w:ascii="宋体" w:hAnsi="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Hans"/>
                <w14:textFill>
                  <w14:solidFill>
                    <w14:schemeClr w14:val="tx1"/>
                  </w14:solidFill>
                </w14:textFill>
              </w:rPr>
              <w:t>森健高档靠背椅子，</w:t>
            </w:r>
            <w:r>
              <w:rPr>
                <w:rFonts w:hint="eastAsia" w:ascii="宋体" w:hAnsi="宋体" w:eastAsia="宋体" w:cs="宋体"/>
                <w:color w:val="000000" w:themeColor="text1"/>
                <w:sz w:val="21"/>
                <w:szCs w:val="21"/>
                <w14:textFill>
                  <w14:solidFill>
                    <w14:schemeClr w14:val="tx1"/>
                  </w14:solidFill>
                </w14:textFill>
              </w:rPr>
              <w:t>每个工位的椅子结构坚固耐用，透气性好。符合人体工程学原理，座面弹性适中，座面密度35KG/m3，背密度30KG/m3,颜色款式与实验桌风格匹配，提供三年的免费上门维护服务</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个</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22</w:t>
            </w:r>
          </w:p>
        </w:tc>
        <w:tc>
          <w:tcPr>
            <w:tcW w:w="1380" w:type="dxa"/>
            <w:vAlign w:val="center"/>
          </w:tcPr>
          <w:p>
            <w:pPr>
              <w:jc w:val="center"/>
              <w:rPr>
                <w:rFonts w:ascii="宋体" w:cs="宋体"/>
                <w:b/>
                <w:bCs/>
                <w:kern w:val="0"/>
                <w:sz w:val="28"/>
                <w:szCs w:val="28"/>
              </w:rPr>
            </w:pPr>
            <w:r>
              <w:rPr>
                <w:rFonts w:hint="eastAsia" w:ascii="宋体" w:hAnsi="宋体" w:eastAsia="宋体" w:cs="宋体"/>
                <w:sz w:val="24"/>
                <w:szCs w:val="24"/>
              </w:rPr>
              <w:t>教师桌椅</w:t>
            </w:r>
          </w:p>
        </w:tc>
        <w:tc>
          <w:tcPr>
            <w:tcW w:w="10468" w:type="dxa"/>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color w:val="000000" w:themeColor="text1"/>
                <w:sz w:val="21"/>
                <w:szCs w:val="21"/>
                <w:lang w:val="en-US" w:eastAsia="zh-Hans"/>
                <w14:textFill>
                  <w14:solidFill>
                    <w14:schemeClr w14:val="tx1"/>
                  </w14:solidFill>
                </w14:textFill>
              </w:rPr>
              <w:t>森健高档多媒体讲桌，</w:t>
            </w:r>
            <w:r>
              <w:rPr>
                <w:rFonts w:hint="eastAsia" w:ascii="宋体" w:hAnsi="宋体" w:eastAsia="宋体" w:cs="宋体"/>
                <w:sz w:val="21"/>
                <w:szCs w:val="21"/>
              </w:rPr>
              <w:t>桌</w:t>
            </w:r>
            <w:r>
              <w:rPr>
                <w:rFonts w:hint="eastAsia" w:ascii="宋体" w:hAnsi="宋体" w:cs="宋体"/>
                <w:sz w:val="21"/>
                <w:szCs w:val="21"/>
                <w:lang w:val="en-US" w:eastAsia="zh-Hans"/>
              </w:rPr>
              <w:t>面</w:t>
            </w:r>
            <w:r>
              <w:rPr>
                <w:rFonts w:hint="eastAsia" w:ascii="宋体" w:hAnsi="宋体" w:eastAsia="宋体" w:cs="宋体"/>
                <w:sz w:val="21"/>
                <w:szCs w:val="21"/>
              </w:rPr>
              <w:t>采用分体式结构，长1200mm、宽650mm、高750mm,误差小于10mm</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2、采用优质板材，全封闭式结构，下箱体设有抽拉式抽屉，方便老师临时存放如粉笔、板擦等教具，还配有两开门的柜子，可作为临时性储物柜。</w:t>
            </w:r>
          </w:p>
          <w:p>
            <w:pPr>
              <w:spacing w:line="240" w:lineRule="auto"/>
              <w:jc w:val="both"/>
              <w:rPr>
                <w:rFonts w:hint="eastAsia" w:ascii="宋体" w:hAnsi="宋体" w:eastAsia="宋体" w:cs="宋体"/>
                <w:b/>
                <w:bCs/>
                <w:kern w:val="0"/>
                <w:sz w:val="21"/>
                <w:szCs w:val="21"/>
              </w:rPr>
            </w:pPr>
            <w:r>
              <w:rPr>
                <w:rFonts w:hint="eastAsia" w:ascii="宋体" w:hAnsi="宋体" w:eastAsia="宋体" w:cs="宋体"/>
                <w:sz w:val="21"/>
                <w:szCs w:val="21"/>
              </w:rPr>
              <w:t>3、</w:t>
            </w:r>
            <w:r>
              <w:rPr>
                <w:rFonts w:hint="eastAsia" w:ascii="宋体" w:hAnsi="宋体" w:cs="宋体"/>
                <w:color w:val="000000" w:themeColor="text1"/>
                <w:sz w:val="21"/>
                <w:szCs w:val="21"/>
                <w:lang w:val="en-US" w:eastAsia="zh-Hans"/>
                <w14:textFill>
                  <w14:solidFill>
                    <w14:schemeClr w14:val="tx1"/>
                  </w14:solidFill>
                </w14:textFill>
              </w:rPr>
              <w:t>森健高档靠背椅子，</w:t>
            </w:r>
            <w:r>
              <w:rPr>
                <w:rFonts w:hint="eastAsia" w:ascii="宋体" w:hAnsi="宋体" w:eastAsia="宋体" w:cs="宋体"/>
                <w:sz w:val="21"/>
                <w:szCs w:val="21"/>
              </w:rPr>
              <w:t>椅子为</w:t>
            </w:r>
            <w:r>
              <w:rPr>
                <w:rFonts w:hint="eastAsia" w:ascii="宋体" w:hAnsi="宋体" w:cs="宋体"/>
                <w:sz w:val="21"/>
                <w:szCs w:val="21"/>
                <w:lang w:val="en-US" w:eastAsia="zh-Hans"/>
              </w:rPr>
              <w:t>钢架结构坚固耐用，</w:t>
            </w:r>
            <w:r>
              <w:rPr>
                <w:rFonts w:hint="eastAsia" w:ascii="宋体" w:hAnsi="宋体" w:eastAsia="宋体" w:cs="宋体"/>
                <w:sz w:val="21"/>
                <w:szCs w:val="21"/>
              </w:rPr>
              <w:t>皮质靠背座椅，透气性好，舒适性强。</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23</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电气设备柜子</w:t>
            </w:r>
          </w:p>
        </w:tc>
        <w:tc>
          <w:tcPr>
            <w:tcW w:w="10468" w:type="dxa"/>
            <w:vAlign w:val="center"/>
          </w:tcPr>
          <w:p>
            <w:pPr>
              <w:spacing w:line="240" w:lineRule="auto"/>
              <w:jc w:val="both"/>
              <w:rPr>
                <w:rFonts w:hint="eastAsia" w:ascii="宋体" w:hAnsi="宋体" w:eastAsia="宋体" w:cs="宋体"/>
                <w:b/>
                <w:bCs/>
                <w:kern w:val="0"/>
                <w:sz w:val="21"/>
                <w:szCs w:val="21"/>
              </w:rPr>
            </w:pPr>
            <w:r>
              <w:rPr>
                <w:rFonts w:hint="eastAsia" w:ascii="宋体" w:hAnsi="宋体" w:eastAsia="宋体" w:cs="宋体"/>
                <w:sz w:val="21"/>
                <w:szCs w:val="21"/>
              </w:rPr>
              <w:t>长宽高为800*800*1200电气通讯柜，玻璃钢正门，自带多排横向柜子</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台</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24</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多媒体功放音响设备</w:t>
            </w:r>
          </w:p>
        </w:tc>
        <w:tc>
          <w:tcPr>
            <w:tcW w:w="10468"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功放:</w:t>
            </w:r>
          </w:p>
          <w:p>
            <w:pPr>
              <w:spacing w:line="240" w:lineRule="auto"/>
              <w:rPr>
                <w:rFonts w:hint="eastAsia" w:ascii="宋体" w:hAnsi="宋体" w:eastAsia="宋体" w:cs="宋体"/>
                <w:sz w:val="21"/>
                <w:szCs w:val="21"/>
              </w:rPr>
            </w:pPr>
            <w:r>
              <w:rPr>
                <w:rFonts w:hint="eastAsia" w:ascii="宋体" w:hAnsi="宋体" w:eastAsia="宋体" w:cs="宋体"/>
                <w:sz w:val="21"/>
                <w:szCs w:val="21"/>
              </w:rPr>
              <w:t>额定：200W*2四路话筒输入</w:t>
            </w:r>
          </w:p>
          <w:p>
            <w:pPr>
              <w:spacing w:line="240" w:lineRule="auto"/>
              <w:rPr>
                <w:rFonts w:hint="eastAsia" w:ascii="宋体" w:hAnsi="宋体" w:eastAsia="宋体" w:cs="宋体"/>
                <w:sz w:val="21"/>
                <w:szCs w:val="21"/>
              </w:rPr>
            </w:pPr>
            <w:r>
              <w:rPr>
                <w:rFonts w:hint="eastAsia" w:ascii="宋体" w:hAnsi="宋体" w:eastAsia="宋体" w:cs="宋体"/>
                <w:sz w:val="21"/>
                <w:szCs w:val="21"/>
              </w:rPr>
              <w:t>出功率(1KHz，8欧)：100W+100W</w:t>
            </w:r>
          </w:p>
          <w:p>
            <w:pPr>
              <w:spacing w:line="240" w:lineRule="auto"/>
              <w:rPr>
                <w:rFonts w:hint="eastAsia" w:ascii="宋体" w:hAnsi="宋体" w:eastAsia="宋体" w:cs="宋体"/>
                <w:sz w:val="21"/>
                <w:szCs w:val="21"/>
              </w:rPr>
            </w:pPr>
            <w:r>
              <w:rPr>
                <w:rFonts w:hint="eastAsia" w:ascii="宋体" w:hAnsi="宋体" w:eastAsia="宋体" w:cs="宋体"/>
                <w:sz w:val="21"/>
                <w:szCs w:val="21"/>
              </w:rPr>
              <w:t>输出功率(1KHz，4欧)：200W+200W</w:t>
            </w:r>
          </w:p>
          <w:p>
            <w:pPr>
              <w:spacing w:line="240" w:lineRule="auto"/>
              <w:rPr>
                <w:rFonts w:hint="eastAsia" w:ascii="宋体" w:hAnsi="宋体" w:eastAsia="宋体" w:cs="宋体"/>
                <w:sz w:val="21"/>
                <w:szCs w:val="21"/>
              </w:rPr>
            </w:pPr>
            <w:r>
              <w:rPr>
                <w:rFonts w:hint="eastAsia" w:ascii="宋体" w:hAnsi="宋体" w:eastAsia="宋体" w:cs="宋体"/>
                <w:sz w:val="21"/>
                <w:szCs w:val="21"/>
              </w:rPr>
              <w:t>话筒输入灵敏度：15Mv</w:t>
            </w:r>
          </w:p>
          <w:p>
            <w:pPr>
              <w:spacing w:line="240" w:lineRule="auto"/>
              <w:rPr>
                <w:rFonts w:hint="eastAsia" w:ascii="宋体" w:hAnsi="宋体" w:eastAsia="宋体" w:cs="宋体"/>
                <w:sz w:val="21"/>
                <w:szCs w:val="21"/>
              </w:rPr>
            </w:pPr>
            <w:r>
              <w:rPr>
                <w:rFonts w:hint="eastAsia" w:ascii="宋体" w:hAnsi="宋体" w:eastAsia="宋体" w:cs="宋体"/>
                <w:sz w:val="21"/>
                <w:szCs w:val="21"/>
              </w:rPr>
              <w:t>信噪比：90db</w:t>
            </w:r>
          </w:p>
          <w:p>
            <w:pPr>
              <w:spacing w:line="240" w:lineRule="auto"/>
              <w:rPr>
                <w:rFonts w:hint="eastAsia" w:ascii="宋体" w:hAnsi="宋体" w:eastAsia="宋体" w:cs="宋体"/>
                <w:sz w:val="21"/>
                <w:szCs w:val="21"/>
              </w:rPr>
            </w:pPr>
            <w:r>
              <w:rPr>
                <w:rFonts w:hint="eastAsia" w:ascii="宋体" w:hAnsi="宋体" w:eastAsia="宋体" w:cs="宋体"/>
                <w:sz w:val="21"/>
                <w:szCs w:val="21"/>
              </w:rPr>
              <w:t>个输入灵敏度：200mv</w:t>
            </w:r>
          </w:p>
          <w:p>
            <w:pPr>
              <w:spacing w:line="240" w:lineRule="auto"/>
              <w:rPr>
                <w:rFonts w:hint="eastAsia" w:ascii="宋体" w:hAnsi="宋体" w:eastAsia="宋体" w:cs="宋体"/>
                <w:sz w:val="21"/>
                <w:szCs w:val="21"/>
              </w:rPr>
            </w:pPr>
            <w:r>
              <w:rPr>
                <w:rFonts w:hint="eastAsia" w:ascii="宋体" w:hAnsi="宋体" w:eastAsia="宋体" w:cs="宋体"/>
                <w:sz w:val="21"/>
                <w:szCs w:val="21"/>
              </w:rPr>
              <w:t>谐波互调失真：（1KHZ.200MV）:0.1%</w:t>
            </w:r>
          </w:p>
          <w:p>
            <w:pPr>
              <w:spacing w:line="240" w:lineRule="auto"/>
              <w:rPr>
                <w:rFonts w:hint="eastAsia" w:ascii="宋体" w:hAnsi="宋体" w:eastAsia="宋体" w:cs="宋体"/>
                <w:sz w:val="21"/>
                <w:szCs w:val="21"/>
              </w:rPr>
            </w:pPr>
            <w:r>
              <w:rPr>
                <w:rFonts w:hint="eastAsia" w:ascii="宋体" w:hAnsi="宋体" w:eastAsia="宋体" w:cs="宋体"/>
                <w:sz w:val="21"/>
                <w:szCs w:val="21"/>
              </w:rPr>
              <w:t>频率响应：20hz—20khz</w:t>
            </w:r>
          </w:p>
          <w:p>
            <w:pPr>
              <w:spacing w:line="240" w:lineRule="auto"/>
              <w:rPr>
                <w:rFonts w:hint="eastAsia" w:ascii="宋体" w:hAnsi="宋体" w:eastAsia="宋体" w:cs="宋体"/>
                <w:sz w:val="21"/>
                <w:szCs w:val="21"/>
              </w:rPr>
            </w:pPr>
            <w:r>
              <w:rPr>
                <w:rFonts w:hint="eastAsia" w:ascii="宋体" w:hAnsi="宋体" w:eastAsia="宋体" w:cs="宋体"/>
                <w:sz w:val="21"/>
                <w:szCs w:val="21"/>
              </w:rPr>
              <w:t>麦克风音调：80hz+15db</w:t>
            </w:r>
          </w:p>
          <w:p>
            <w:pPr>
              <w:spacing w:line="240" w:lineRule="auto"/>
              <w:rPr>
                <w:rFonts w:hint="eastAsia" w:ascii="宋体" w:hAnsi="宋体" w:eastAsia="宋体" w:cs="宋体"/>
                <w:sz w:val="21"/>
                <w:szCs w:val="21"/>
              </w:rPr>
            </w:pPr>
            <w:r>
              <w:rPr>
                <w:rFonts w:hint="eastAsia" w:ascii="宋体" w:hAnsi="宋体" w:eastAsia="宋体" w:cs="宋体"/>
                <w:sz w:val="21"/>
                <w:szCs w:val="21"/>
              </w:rPr>
              <w:t>回响音调：80hz+15d</w:t>
            </w:r>
          </w:p>
          <w:p>
            <w:pPr>
              <w:spacing w:line="240" w:lineRule="auto"/>
              <w:rPr>
                <w:rFonts w:hint="eastAsia" w:ascii="宋体" w:hAnsi="宋体" w:eastAsia="宋体" w:cs="宋体"/>
                <w:sz w:val="21"/>
                <w:szCs w:val="21"/>
              </w:rPr>
            </w:pPr>
            <w:r>
              <w:rPr>
                <w:rFonts w:hint="eastAsia" w:ascii="宋体" w:hAnsi="宋体" w:eastAsia="宋体" w:cs="宋体"/>
                <w:sz w:val="21"/>
                <w:szCs w:val="21"/>
              </w:rPr>
              <w:t>2、音响：</w:t>
            </w:r>
          </w:p>
          <w:p>
            <w:pPr>
              <w:spacing w:line="240" w:lineRule="auto"/>
              <w:rPr>
                <w:rFonts w:hint="eastAsia" w:ascii="宋体" w:hAnsi="宋体" w:eastAsia="宋体" w:cs="宋体"/>
                <w:sz w:val="21"/>
                <w:szCs w:val="21"/>
              </w:rPr>
            </w:pPr>
            <w:r>
              <w:rPr>
                <w:rFonts w:hint="eastAsia" w:ascii="宋体" w:hAnsi="宋体" w:eastAsia="宋体" w:cs="宋体"/>
                <w:sz w:val="21"/>
                <w:szCs w:val="21"/>
              </w:rPr>
              <w:t>10寸专业音箱，会议室，教学专用</w:t>
            </w:r>
          </w:p>
          <w:p>
            <w:pPr>
              <w:spacing w:line="240" w:lineRule="auto"/>
              <w:rPr>
                <w:rFonts w:hint="eastAsia" w:ascii="宋体" w:hAnsi="宋体" w:eastAsia="宋体" w:cs="宋体"/>
                <w:sz w:val="21"/>
                <w:szCs w:val="21"/>
              </w:rPr>
            </w:pPr>
            <w:r>
              <w:rPr>
                <w:rFonts w:hint="eastAsia" w:ascii="宋体" w:hAnsi="宋体" w:eastAsia="宋体" w:cs="宋体"/>
                <w:sz w:val="21"/>
                <w:szCs w:val="21"/>
              </w:rPr>
              <w:t>额定功率： 220W</w:t>
            </w:r>
          </w:p>
          <w:p>
            <w:pPr>
              <w:spacing w:line="240" w:lineRule="auto"/>
              <w:rPr>
                <w:rFonts w:hint="eastAsia" w:ascii="宋体" w:hAnsi="宋体" w:eastAsia="宋体" w:cs="宋体"/>
                <w:sz w:val="21"/>
                <w:szCs w:val="21"/>
              </w:rPr>
            </w:pPr>
            <w:r>
              <w:rPr>
                <w:rFonts w:hint="eastAsia" w:ascii="宋体" w:hAnsi="宋体" w:eastAsia="宋体" w:cs="宋体"/>
                <w:sz w:val="21"/>
                <w:szCs w:val="21"/>
              </w:rPr>
              <w:t>1频率响应：48—18khz</w:t>
            </w:r>
          </w:p>
          <w:p>
            <w:pPr>
              <w:spacing w:line="240" w:lineRule="auto"/>
              <w:rPr>
                <w:rFonts w:hint="eastAsia" w:ascii="宋体" w:hAnsi="宋体" w:eastAsia="宋体" w:cs="宋体"/>
                <w:sz w:val="21"/>
                <w:szCs w:val="21"/>
              </w:rPr>
            </w:pPr>
            <w:r>
              <w:rPr>
                <w:rFonts w:hint="eastAsia" w:ascii="宋体" w:hAnsi="宋体" w:eastAsia="宋体" w:cs="宋体"/>
                <w:sz w:val="21"/>
                <w:szCs w:val="21"/>
              </w:rPr>
              <w:t>灵敏度：102db+2；</w:t>
            </w:r>
          </w:p>
          <w:p>
            <w:pPr>
              <w:spacing w:line="240" w:lineRule="auto"/>
              <w:rPr>
                <w:rFonts w:hint="eastAsia" w:ascii="宋体" w:hAnsi="宋体" w:eastAsia="宋体" w:cs="宋体"/>
                <w:sz w:val="21"/>
                <w:szCs w:val="21"/>
              </w:rPr>
            </w:pPr>
            <w:r>
              <w:rPr>
                <w:rFonts w:hint="eastAsia" w:ascii="宋体" w:hAnsi="宋体" w:eastAsia="宋体" w:cs="宋体"/>
                <w:sz w:val="21"/>
                <w:szCs w:val="21"/>
              </w:rPr>
              <w:t>阻抗：4—8欧姆</w:t>
            </w:r>
          </w:p>
          <w:p>
            <w:pPr>
              <w:spacing w:line="240" w:lineRule="auto"/>
              <w:rPr>
                <w:rFonts w:hint="eastAsia" w:ascii="宋体" w:hAnsi="宋体" w:eastAsia="宋体" w:cs="宋体"/>
                <w:sz w:val="21"/>
                <w:szCs w:val="21"/>
              </w:rPr>
            </w:pPr>
            <w:r>
              <w:rPr>
                <w:rFonts w:hint="eastAsia" w:ascii="宋体" w:hAnsi="宋体" w:eastAsia="宋体" w:cs="宋体"/>
                <w:sz w:val="21"/>
                <w:szCs w:val="21"/>
              </w:rPr>
              <w:t>喇叭单元：低音单元10寸*1，高音单元：3寸*2</w:t>
            </w:r>
          </w:p>
          <w:p>
            <w:pPr>
              <w:spacing w:line="240" w:lineRule="auto"/>
              <w:rPr>
                <w:rFonts w:hint="eastAsia" w:ascii="宋体" w:hAnsi="宋体" w:eastAsia="宋体" w:cs="宋体"/>
                <w:sz w:val="21"/>
                <w:szCs w:val="21"/>
              </w:rPr>
            </w:pPr>
            <w:r>
              <w:rPr>
                <w:rFonts w:hint="eastAsia" w:ascii="宋体" w:hAnsi="宋体" w:eastAsia="宋体" w:cs="宋体"/>
                <w:sz w:val="21"/>
                <w:szCs w:val="21"/>
              </w:rPr>
              <w:t>3、话筒：</w:t>
            </w:r>
          </w:p>
          <w:p>
            <w:pPr>
              <w:spacing w:line="240" w:lineRule="auto"/>
              <w:rPr>
                <w:rFonts w:hint="eastAsia" w:ascii="宋体" w:hAnsi="宋体" w:eastAsia="宋体" w:cs="宋体"/>
                <w:sz w:val="21"/>
                <w:szCs w:val="21"/>
              </w:rPr>
            </w:pPr>
            <w:r>
              <w:rPr>
                <w:rFonts w:hint="eastAsia" w:ascii="宋体" w:hAnsi="宋体" w:eastAsia="宋体" w:cs="宋体"/>
                <w:sz w:val="21"/>
                <w:szCs w:val="21"/>
              </w:rPr>
              <w:t>咪头尺寸：Φ6.0×5.0mm</w:t>
            </w:r>
          </w:p>
          <w:p>
            <w:pPr>
              <w:spacing w:line="240" w:lineRule="auto"/>
              <w:rPr>
                <w:rFonts w:hint="eastAsia" w:ascii="宋体" w:hAnsi="宋体" w:eastAsia="宋体" w:cs="宋体"/>
                <w:sz w:val="21"/>
                <w:szCs w:val="21"/>
              </w:rPr>
            </w:pPr>
            <w:r>
              <w:rPr>
                <w:rFonts w:hint="eastAsia" w:ascii="宋体" w:hAnsi="宋体" w:eastAsia="宋体" w:cs="宋体"/>
                <w:sz w:val="21"/>
                <w:szCs w:val="21"/>
              </w:rPr>
              <w:t>灵敏度：-52dB±2dB</w:t>
            </w:r>
          </w:p>
          <w:p>
            <w:pPr>
              <w:spacing w:line="240" w:lineRule="auto"/>
              <w:rPr>
                <w:rFonts w:hint="eastAsia" w:ascii="宋体" w:hAnsi="宋体" w:eastAsia="宋体" w:cs="宋体"/>
                <w:sz w:val="21"/>
                <w:szCs w:val="21"/>
              </w:rPr>
            </w:pPr>
            <w:r>
              <w:rPr>
                <w:rFonts w:hint="eastAsia" w:ascii="宋体" w:hAnsi="宋体" w:eastAsia="宋体" w:cs="宋体"/>
                <w:sz w:val="21"/>
                <w:szCs w:val="21"/>
              </w:rPr>
              <w:t>方向性：全指向 阻抗：680Ω</w:t>
            </w:r>
          </w:p>
          <w:p>
            <w:pPr>
              <w:spacing w:line="240" w:lineRule="auto"/>
              <w:rPr>
                <w:rFonts w:hint="eastAsia" w:ascii="宋体" w:hAnsi="宋体" w:eastAsia="宋体" w:cs="宋体"/>
                <w:sz w:val="21"/>
                <w:szCs w:val="21"/>
              </w:rPr>
            </w:pPr>
            <w:r>
              <w:rPr>
                <w:rFonts w:hint="eastAsia" w:ascii="宋体" w:hAnsi="宋体" w:eastAsia="宋体" w:cs="宋体"/>
                <w:sz w:val="21"/>
                <w:szCs w:val="21"/>
              </w:rPr>
              <w:t>工作电压：2.0V</w:t>
            </w:r>
          </w:p>
          <w:p>
            <w:pPr>
              <w:spacing w:line="240" w:lineRule="auto"/>
              <w:rPr>
                <w:rFonts w:hint="eastAsia" w:ascii="宋体" w:hAnsi="宋体" w:eastAsia="宋体" w:cs="宋体"/>
                <w:sz w:val="21"/>
                <w:szCs w:val="21"/>
              </w:rPr>
            </w:pPr>
            <w:r>
              <w:rPr>
                <w:rFonts w:hint="eastAsia" w:ascii="宋体" w:hAnsi="宋体" w:eastAsia="宋体" w:cs="宋体"/>
                <w:sz w:val="21"/>
                <w:szCs w:val="21"/>
              </w:rPr>
              <w:t>频率范围：100-16kHz</w:t>
            </w:r>
          </w:p>
          <w:p>
            <w:pPr>
              <w:spacing w:line="240" w:lineRule="auto"/>
              <w:rPr>
                <w:rFonts w:hint="eastAsia" w:ascii="宋体" w:hAnsi="宋体" w:eastAsia="宋体" w:cs="宋体"/>
                <w:sz w:val="21"/>
                <w:szCs w:val="21"/>
              </w:rPr>
            </w:pPr>
            <w:r>
              <w:rPr>
                <w:rFonts w:hint="eastAsia" w:ascii="宋体" w:hAnsi="宋体" w:eastAsia="宋体" w:cs="宋体"/>
                <w:sz w:val="21"/>
                <w:szCs w:val="21"/>
              </w:rPr>
              <w:t>信噪比：大于60dB</w:t>
            </w:r>
          </w:p>
          <w:p>
            <w:pPr>
              <w:spacing w:line="240" w:lineRule="auto"/>
              <w:rPr>
                <w:rFonts w:hint="eastAsia" w:ascii="宋体" w:hAnsi="宋体" w:eastAsia="宋体" w:cs="宋体"/>
                <w:sz w:val="21"/>
                <w:szCs w:val="21"/>
              </w:rPr>
            </w:pPr>
            <w:r>
              <w:rPr>
                <w:rFonts w:hint="eastAsia" w:ascii="宋体" w:hAnsi="宋体" w:eastAsia="宋体" w:cs="宋体"/>
                <w:sz w:val="21"/>
                <w:szCs w:val="21"/>
              </w:rPr>
              <w:t>插头直径：3.5mm</w:t>
            </w:r>
          </w:p>
          <w:p>
            <w:pPr>
              <w:spacing w:line="240" w:lineRule="auto"/>
              <w:jc w:val="left"/>
              <w:rPr>
                <w:rFonts w:hint="eastAsia" w:ascii="宋体" w:hAnsi="宋体" w:eastAsia="宋体" w:cs="宋体"/>
                <w:b/>
                <w:bCs/>
                <w:kern w:val="0"/>
                <w:sz w:val="21"/>
                <w:szCs w:val="21"/>
              </w:rPr>
            </w:pPr>
            <w:r>
              <w:rPr>
                <w:rFonts w:hint="eastAsia" w:ascii="宋体" w:hAnsi="宋体" w:eastAsia="宋体" w:cs="宋体"/>
                <w:sz w:val="21"/>
                <w:szCs w:val="21"/>
              </w:rPr>
              <w:t>配备麦克风保护件套装</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25</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实验室综合布线</w:t>
            </w:r>
          </w:p>
        </w:tc>
        <w:tc>
          <w:tcPr>
            <w:tcW w:w="10468" w:type="dxa"/>
          </w:tcPr>
          <w:p>
            <w:pPr>
              <w:spacing w:line="240" w:lineRule="auto"/>
              <w:jc w:val="left"/>
              <w:rPr>
                <w:rFonts w:hint="eastAsia"/>
              </w:rPr>
            </w:pPr>
            <w:r>
              <w:rPr>
                <w:rFonts w:hint="eastAsia"/>
              </w:rPr>
              <w:t>对实验室原有线路进行清除，重新进行实验室整体强弱电、网络设施等相关设备的规划布局，实施内容包含地面开槽、强电布线、通信弱电布线、视频弱电布线、信息插座、强电插座等，施工包含学生终端点位，教师操作台点位，所有实施材料严格按照国家相关产品技术标准，确保实验室整体网络、电路、通信等综合环境安全运行。</w:t>
            </w:r>
          </w:p>
          <w:p>
            <w:pPr>
              <w:pStyle w:val="2"/>
              <w:rPr>
                <w:rFonts w:hint="eastAsia" w:eastAsia="宋体"/>
                <w:lang w:eastAsia="zh-Hans"/>
              </w:rPr>
            </w:pPr>
            <w:r>
              <w:rPr>
                <w:rFonts w:hint="eastAsia" w:ascii="宋体" w:hAnsi="宋体" w:cs="宋体"/>
                <w:sz w:val="21"/>
                <w:szCs w:val="21"/>
                <w:lang w:eastAsia="zh-Hans"/>
              </w:rPr>
              <w:t>（</w:t>
            </w:r>
            <w:r>
              <w:rPr>
                <w:rFonts w:hint="eastAsia" w:ascii="宋体" w:hAnsi="宋体" w:cs="宋体"/>
                <w:sz w:val="21"/>
                <w:szCs w:val="21"/>
                <w:lang w:val="en-US" w:eastAsia="zh-Hans"/>
              </w:rPr>
              <w:t>网线采用超六类武汉电信光电网线，插排采用公牛</w:t>
            </w:r>
            <w:r>
              <w:rPr>
                <w:rFonts w:hint="default" w:ascii="宋体" w:hAnsi="宋体" w:cs="宋体"/>
                <w:sz w:val="21"/>
                <w:szCs w:val="21"/>
                <w:lang w:eastAsia="zh-Hans"/>
              </w:rPr>
              <w:t>6</w:t>
            </w:r>
            <w:r>
              <w:rPr>
                <w:rFonts w:hint="eastAsia" w:ascii="宋体" w:hAnsi="宋体" w:cs="宋体"/>
                <w:sz w:val="21"/>
                <w:szCs w:val="21"/>
                <w:lang w:val="en-US" w:eastAsia="zh-Hans"/>
              </w:rPr>
              <w:t>孔插线排，电线采用郑州三厂</w:t>
            </w:r>
            <w:r>
              <w:rPr>
                <w:rFonts w:hint="default" w:ascii="宋体" w:hAnsi="宋体" w:cs="宋体"/>
                <w:sz w:val="21"/>
                <w:szCs w:val="21"/>
                <w:lang w:eastAsia="zh-Hans"/>
              </w:rPr>
              <w:t>4</w:t>
            </w:r>
            <w:r>
              <w:rPr>
                <w:rFonts w:hint="eastAsia" w:ascii="宋体" w:hAnsi="宋体" w:cs="宋体"/>
                <w:sz w:val="21"/>
                <w:szCs w:val="21"/>
                <w:lang w:val="en-US" w:eastAsia="zh-Hans"/>
              </w:rPr>
              <w:t>平方铜线</w:t>
            </w:r>
            <w:r>
              <w:rPr>
                <w:rFonts w:hint="eastAsia" w:ascii="宋体" w:hAnsi="宋体" w:cs="宋体"/>
                <w:sz w:val="21"/>
                <w:szCs w:val="21"/>
                <w:lang w:eastAsia="zh-Hans"/>
              </w:rPr>
              <w:t>）</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698" w:type="dxa"/>
            <w:vAlign w:val="center"/>
          </w:tcPr>
          <w:p>
            <w:pPr>
              <w:spacing w:line="300" w:lineRule="exact"/>
              <w:jc w:val="center"/>
              <w:rPr>
                <w:rFonts w:ascii="宋体" w:hAnsi="宋体" w:cs="宋体"/>
                <w:b/>
                <w:bCs/>
                <w:kern w:val="0"/>
                <w:sz w:val="28"/>
                <w:szCs w:val="28"/>
              </w:rPr>
            </w:pPr>
            <w:r>
              <w:rPr>
                <w:rFonts w:hint="eastAsia" w:ascii="宋体" w:hAnsi="宋体" w:eastAsia="宋体" w:cs="宋体"/>
                <w:sz w:val="24"/>
                <w:szCs w:val="24"/>
                <w:lang w:val="en-US" w:eastAsia="zh-CN"/>
              </w:rPr>
              <w:t>26</w:t>
            </w:r>
          </w:p>
        </w:tc>
        <w:tc>
          <w:tcPr>
            <w:tcW w:w="1380" w:type="dxa"/>
            <w:vAlign w:val="center"/>
          </w:tcPr>
          <w:p>
            <w:pPr>
              <w:spacing w:line="300" w:lineRule="exact"/>
              <w:jc w:val="center"/>
              <w:rPr>
                <w:rFonts w:ascii="宋体" w:cs="宋体"/>
                <w:b/>
                <w:bCs/>
                <w:kern w:val="0"/>
                <w:sz w:val="28"/>
                <w:szCs w:val="28"/>
              </w:rPr>
            </w:pPr>
            <w:r>
              <w:rPr>
                <w:rFonts w:hint="eastAsia" w:ascii="宋体" w:hAnsi="宋体" w:eastAsia="宋体" w:cs="宋体"/>
                <w:sz w:val="24"/>
                <w:szCs w:val="24"/>
              </w:rPr>
              <w:t>实验室配套环境建设</w:t>
            </w:r>
          </w:p>
        </w:tc>
        <w:tc>
          <w:tcPr>
            <w:tcW w:w="10468" w:type="dxa"/>
          </w:tcPr>
          <w:p>
            <w:pPr>
              <w:numPr>
                <w:ilvl w:val="0"/>
                <w:numId w:val="7"/>
              </w:numPr>
              <w:spacing w:line="240" w:lineRule="auto"/>
              <w:rPr>
                <w:rFonts w:hint="eastAsia" w:ascii="宋体" w:hAnsi="宋体" w:eastAsia="宋体" w:cs="宋体"/>
                <w:sz w:val="21"/>
                <w:szCs w:val="21"/>
              </w:rPr>
            </w:pPr>
            <w:r>
              <w:rPr>
                <w:rFonts w:hint="eastAsia" w:ascii="宋体" w:hAnsi="宋体" w:eastAsia="宋体" w:cs="宋体"/>
                <w:sz w:val="21"/>
                <w:szCs w:val="21"/>
              </w:rPr>
              <w:t>根据实验室整体空间面积按实验功能区域进行划分，对墙面、地面、顶棚等各个区域进行规划设计，整体风格美观大方，简单实用，特色突出。</w:t>
            </w:r>
            <w:r>
              <w:rPr>
                <w:rFonts w:hint="eastAsia" w:ascii="宋体" w:hAnsi="宋体" w:cs="宋体"/>
                <w:sz w:val="21"/>
                <w:szCs w:val="21"/>
                <w:lang w:val="en-US" w:eastAsia="zh-Hans"/>
              </w:rPr>
              <w:t>所有材料都按照国家相关产品质量和环保要求提供实施。</w:t>
            </w:r>
          </w:p>
          <w:p>
            <w:pPr>
              <w:numPr>
                <w:ilvl w:val="0"/>
                <w:numId w:val="0"/>
              </w:numPr>
              <w:spacing w:line="240" w:lineRule="auto"/>
              <w:rPr>
                <w:rFonts w:hint="eastAsia" w:ascii="宋体" w:hAnsi="宋体" w:eastAsia="宋体" w:cs="宋体"/>
                <w:b/>
                <w:bCs/>
                <w:kern w:val="0"/>
                <w:sz w:val="21"/>
                <w:szCs w:val="21"/>
              </w:rPr>
            </w:pPr>
            <w:r>
              <w:rPr>
                <w:rFonts w:hint="eastAsia" w:ascii="宋体" w:hAnsi="宋体" w:eastAsia="宋体" w:cs="宋体"/>
                <w:sz w:val="21"/>
                <w:szCs w:val="21"/>
              </w:rPr>
              <w:t>2、基础装修：墙面用环保乳胶漆重新刷新，地面采用木地板或地毯，顶部采用石膏板或木质等环保材料进行装饰设计，更新实验室原有的全部灯具及电路开关。软装：实验室内所有窗帘全部更换，根据实验教学需求制作响应配套的展板、灯箱、工艺字等。所有材料全部符合国标要求，施工工艺严格按照相关施工规范要求。</w:t>
            </w:r>
            <w:r>
              <w:rPr>
                <w:rFonts w:hint="eastAsia" w:ascii="宋体" w:hAnsi="宋体" w:cs="宋体"/>
                <w:sz w:val="21"/>
                <w:szCs w:val="21"/>
                <w:lang w:eastAsia="zh-Hans"/>
              </w:rPr>
              <w:t>（</w:t>
            </w:r>
            <w:r>
              <w:rPr>
                <w:rFonts w:hint="eastAsia" w:ascii="宋体" w:hAnsi="宋体" w:cs="宋体"/>
                <w:sz w:val="21"/>
                <w:szCs w:val="21"/>
                <w:lang w:val="en-US" w:eastAsia="zh-Hans"/>
              </w:rPr>
              <w:t>墙面及顶部油漆采用华润室内环保漆，线材采用正泰电器线缆，墙面腻子采用金豆豆腻子粉，灯具采用雷士照明灯具，正泰漏电保护器，金德</w:t>
            </w:r>
            <w:r>
              <w:rPr>
                <w:rFonts w:hint="default" w:ascii="宋体" w:hAnsi="宋体" w:cs="宋体"/>
                <w:sz w:val="21"/>
                <w:szCs w:val="21"/>
                <w:lang w:eastAsia="zh-Hans"/>
              </w:rPr>
              <w:t>PVC</w:t>
            </w:r>
            <w:r>
              <w:rPr>
                <w:rFonts w:hint="eastAsia" w:ascii="宋体" w:hAnsi="宋体" w:cs="宋体"/>
                <w:sz w:val="21"/>
                <w:szCs w:val="21"/>
                <w:lang w:val="en-US" w:eastAsia="zh-Hans"/>
              </w:rPr>
              <w:t>管材</w:t>
            </w:r>
            <w:r>
              <w:rPr>
                <w:rFonts w:hint="eastAsia" w:ascii="宋体" w:hAnsi="宋体" w:cs="宋体"/>
                <w:sz w:val="21"/>
                <w:szCs w:val="21"/>
                <w:lang w:eastAsia="zh-Hans"/>
              </w:rPr>
              <w:t>）</w:t>
            </w:r>
          </w:p>
        </w:tc>
        <w:tc>
          <w:tcPr>
            <w:tcW w:w="850"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套</w:t>
            </w:r>
          </w:p>
        </w:tc>
        <w:tc>
          <w:tcPr>
            <w:tcW w:w="862" w:type="dxa"/>
            <w:vAlign w:val="center"/>
          </w:tcPr>
          <w:p>
            <w:pPr>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1</w:t>
            </w:r>
          </w:p>
        </w:tc>
      </w:tr>
    </w:tbl>
    <w:p>
      <w:pPr>
        <w:spacing w:line="360" w:lineRule="auto"/>
        <w:jc w:val="left"/>
        <w:rPr>
          <w:rFonts w:ascii="宋体"/>
          <w:b/>
          <w:bCs/>
          <w:sz w:val="28"/>
          <w:szCs w:val="28"/>
        </w:rPr>
        <w:sectPr>
          <w:pgSz w:w="16838" w:h="11906" w:orient="landscape"/>
          <w:pgMar w:top="1797" w:right="1440" w:bottom="1797" w:left="1440" w:header="851" w:footer="992" w:gutter="0"/>
          <w:pgNumType w:fmt="decimal"/>
          <w:cols w:space="720" w:num="1"/>
          <w:docGrid w:type="linesAndChars" w:linePitch="312" w:charSpace="0"/>
        </w:sectPr>
      </w:pPr>
      <w:r>
        <w:rPr>
          <w:rFonts w:ascii="宋体" w:hAnsi="宋体" w:cs="宋体"/>
          <w:b/>
          <w:bCs/>
          <w:sz w:val="28"/>
          <w:szCs w:val="28"/>
        </w:rPr>
        <w:t xml:space="preserve">           </w:t>
      </w:r>
    </w:p>
    <w:p>
      <w:pPr>
        <w:snapToGrid w:val="0"/>
        <w:spacing w:line="360" w:lineRule="auto"/>
        <w:rPr>
          <w:rFonts w:ascii="宋体"/>
          <w:sz w:val="28"/>
          <w:szCs w:val="28"/>
        </w:rPr>
      </w:pPr>
      <w:r>
        <w:rPr>
          <w:rFonts w:hint="eastAsia" w:ascii="宋体" w:hAnsi="宋体" w:cs="宋体"/>
          <w:b/>
          <w:bCs/>
          <w:kern w:val="0"/>
          <w:sz w:val="28"/>
          <w:szCs w:val="28"/>
        </w:rPr>
        <w:t>附</w:t>
      </w:r>
      <w:r>
        <w:rPr>
          <w:rFonts w:ascii="宋体" w:hAnsi="宋体" w:cs="宋体"/>
          <w:b/>
          <w:bCs/>
          <w:kern w:val="0"/>
          <w:sz w:val="28"/>
          <w:szCs w:val="28"/>
        </w:rPr>
        <w:t>3</w:t>
      </w:r>
      <w:r>
        <w:rPr>
          <w:rFonts w:hint="eastAsia" w:ascii="宋体" w:hAnsi="宋体" w:cs="宋体"/>
          <w:b/>
          <w:bCs/>
          <w:kern w:val="0"/>
          <w:sz w:val="28"/>
          <w:szCs w:val="28"/>
        </w:rPr>
        <w:t>：</w:t>
      </w:r>
      <w:r>
        <w:rPr>
          <w:rFonts w:ascii="宋体" w:hAnsi="宋体" w:cs="宋体"/>
          <w:b/>
          <w:bCs/>
          <w:kern w:val="0"/>
          <w:sz w:val="28"/>
          <w:szCs w:val="28"/>
        </w:rPr>
        <w:t xml:space="preserve">   </w:t>
      </w:r>
      <w:r>
        <w:rPr>
          <w:rFonts w:ascii="宋体" w:hAnsi="宋体" w:cs="宋体"/>
          <w:kern w:val="0"/>
          <w:sz w:val="28"/>
          <w:szCs w:val="28"/>
        </w:rPr>
        <w:t xml:space="preserve">         </w:t>
      </w:r>
      <w:r>
        <w:rPr>
          <w:rFonts w:ascii="宋体" w:hAnsi="宋体" w:cs="宋体"/>
          <w:sz w:val="28"/>
          <w:szCs w:val="28"/>
        </w:rPr>
        <w:t xml:space="preserve">      </w:t>
      </w:r>
    </w:p>
    <w:p>
      <w:pPr>
        <w:snapToGrid w:val="0"/>
        <w:spacing w:line="360" w:lineRule="auto"/>
        <w:rPr>
          <w:rFonts w:hint="eastAsia" w:ascii="宋体" w:hAnsi="宋体" w:cs="宋体"/>
          <w:b/>
          <w:bCs/>
          <w:sz w:val="36"/>
          <w:szCs w:val="36"/>
        </w:rPr>
      </w:pPr>
      <w:r>
        <w:rPr>
          <w:rFonts w:ascii="宋体" w:hAnsi="宋体" w:cs="宋体"/>
          <w:b/>
          <w:bCs/>
          <w:sz w:val="28"/>
          <w:szCs w:val="28"/>
        </w:rPr>
        <w:t xml:space="preserve">                  </w:t>
      </w:r>
      <w:r>
        <w:rPr>
          <w:rFonts w:ascii="宋体" w:hAnsi="宋体" w:cs="宋体"/>
          <w:b/>
          <w:bCs/>
          <w:sz w:val="36"/>
          <w:szCs w:val="36"/>
        </w:rPr>
        <w:t xml:space="preserve"> </w:t>
      </w:r>
      <w:r>
        <w:rPr>
          <w:rFonts w:hint="eastAsia" w:ascii="宋体" w:hAnsi="宋体" w:cs="宋体"/>
          <w:b/>
          <w:bCs/>
          <w:sz w:val="36"/>
          <w:szCs w:val="36"/>
        </w:rPr>
        <w:t>售后服务计划及保障措施</w:t>
      </w:r>
    </w:p>
    <w:p>
      <w:pPr>
        <w:pStyle w:val="7"/>
        <w:spacing w:line="360" w:lineRule="auto"/>
        <w:rPr>
          <w:b/>
          <w:sz w:val="24"/>
          <w:szCs w:val="24"/>
          <w:u w:val="single"/>
        </w:rPr>
      </w:pPr>
      <w:r>
        <w:rPr>
          <w:rFonts w:hint="eastAsia"/>
          <w:b/>
          <w:sz w:val="24"/>
          <w:szCs w:val="24"/>
          <w:u w:val="single"/>
        </w:rPr>
        <w:t>致：郑州大学</w:t>
      </w:r>
    </w:p>
    <w:p>
      <w:pPr>
        <w:pStyle w:val="7"/>
        <w:spacing w:line="360" w:lineRule="auto"/>
        <w:ind w:firstLine="240" w:firstLineChars="100"/>
        <w:rPr>
          <w:sz w:val="24"/>
        </w:rPr>
      </w:pPr>
      <w:r>
        <w:rPr>
          <w:rFonts w:hint="eastAsia"/>
          <w:sz w:val="24"/>
          <w:szCs w:val="24"/>
        </w:rPr>
        <w:t>我单位针对</w:t>
      </w:r>
      <w:r>
        <w:rPr>
          <w:rFonts w:hint="eastAsia"/>
          <w:sz w:val="24"/>
          <w:szCs w:val="24"/>
          <w:u w:val="single"/>
        </w:rPr>
        <w:t>郑州大学软件学院分布式能源安全实验室采购项目</w:t>
      </w:r>
      <w:r>
        <w:rPr>
          <w:rFonts w:hint="eastAsia"/>
          <w:sz w:val="24"/>
          <w:szCs w:val="24"/>
        </w:rPr>
        <w:t>的售后服务及质量保证承诺如下：</w:t>
      </w:r>
    </w:p>
    <w:p>
      <w:pPr>
        <w:pStyle w:val="7"/>
        <w:spacing w:line="360" w:lineRule="auto"/>
        <w:rPr>
          <w:b/>
          <w:sz w:val="24"/>
        </w:rPr>
      </w:pPr>
      <w:r>
        <w:rPr>
          <w:rFonts w:hint="eastAsia"/>
          <w:b/>
          <w:sz w:val="24"/>
          <w:szCs w:val="24"/>
        </w:rPr>
        <w:t>（1）质保期</w:t>
      </w:r>
    </w:p>
    <w:p>
      <w:pPr>
        <w:pStyle w:val="7"/>
        <w:spacing w:line="360" w:lineRule="auto"/>
        <w:rPr>
          <w:sz w:val="24"/>
        </w:rPr>
      </w:pPr>
      <w:r>
        <w:rPr>
          <w:rFonts w:hint="eastAsia"/>
          <w:sz w:val="24"/>
          <w:szCs w:val="24"/>
        </w:rPr>
        <w:t>我公司郑重承诺本次投标活动中，所有设备质保期限均为</w:t>
      </w:r>
      <w:r>
        <w:rPr>
          <w:rFonts w:hint="eastAsia"/>
          <w:sz w:val="24"/>
          <w:szCs w:val="24"/>
          <w:lang w:val="en-US" w:eastAsia="zh-Hans"/>
        </w:rPr>
        <w:t>货物</w:t>
      </w:r>
      <w:bookmarkStart w:id="10" w:name="_GoBack"/>
      <w:bookmarkEnd w:id="10"/>
      <w:r>
        <w:rPr>
          <w:rFonts w:hint="eastAsia"/>
          <w:sz w:val="24"/>
          <w:szCs w:val="24"/>
          <w:lang w:val="en-US" w:eastAsia="zh-CN"/>
        </w:rPr>
        <w:t>验收合格</w:t>
      </w:r>
      <w:r>
        <w:rPr>
          <w:rFonts w:hint="eastAsia"/>
          <w:sz w:val="24"/>
          <w:szCs w:val="24"/>
        </w:rPr>
        <w:t>后</w:t>
      </w:r>
      <w:r>
        <w:rPr>
          <w:rFonts w:hint="eastAsia"/>
          <w:sz w:val="24"/>
          <w:szCs w:val="24"/>
          <w:u w:val="single"/>
        </w:rPr>
        <w:t>3</w:t>
      </w:r>
      <w:r>
        <w:rPr>
          <w:rFonts w:hint="eastAsia"/>
          <w:sz w:val="24"/>
          <w:szCs w:val="24"/>
        </w:rPr>
        <w:t>年。</w:t>
      </w:r>
    </w:p>
    <w:p>
      <w:pPr>
        <w:pStyle w:val="7"/>
        <w:spacing w:line="360" w:lineRule="auto"/>
        <w:rPr>
          <w:b/>
          <w:sz w:val="24"/>
        </w:rPr>
      </w:pPr>
      <w:r>
        <w:rPr>
          <w:rFonts w:hint="eastAsia"/>
          <w:b/>
          <w:sz w:val="24"/>
        </w:rPr>
        <w:t>（2）售后服务响应时间、故障排除时间</w:t>
      </w:r>
    </w:p>
    <w:p>
      <w:pPr>
        <w:pStyle w:val="7"/>
        <w:spacing w:line="360" w:lineRule="auto"/>
        <w:ind w:firstLine="480" w:firstLineChars="200"/>
        <w:rPr>
          <w:sz w:val="24"/>
        </w:rPr>
      </w:pPr>
      <w:r>
        <w:rPr>
          <w:rFonts w:hint="eastAsia"/>
          <w:sz w:val="24"/>
        </w:rPr>
        <w:t>保修期内，我公司承诺根据故障处理流程，如果远程不能解决，根据故障现场距离，现场技术人员将在半个小时内赶到现场，并在2小时内完成用户有故障产品的维修，2小时内无法解决问题的，更换备品、备件，12小时内恢复正常运行，故障解决后通知用户并录入档案，将故障产品返厂维修并查找故障原因。售后服务小组召开会议研究故障原因，并制定响应方案防止相同或相似的故障再次发生。</w:t>
      </w:r>
    </w:p>
    <w:p>
      <w:pPr>
        <w:pStyle w:val="7"/>
        <w:spacing w:line="360" w:lineRule="auto"/>
        <w:rPr>
          <w:b/>
          <w:sz w:val="24"/>
        </w:rPr>
      </w:pPr>
      <w:r>
        <w:rPr>
          <w:rFonts w:hint="eastAsia"/>
          <w:b/>
          <w:sz w:val="24"/>
        </w:rPr>
        <w:t>定期巡检</w:t>
      </w:r>
    </w:p>
    <w:p>
      <w:pPr>
        <w:pStyle w:val="7"/>
        <w:spacing w:line="360" w:lineRule="auto"/>
        <w:ind w:firstLine="360" w:firstLineChars="150"/>
        <w:rPr>
          <w:sz w:val="24"/>
        </w:rPr>
      </w:pPr>
      <w:r>
        <w:rPr>
          <w:rFonts w:hint="eastAsia"/>
          <w:sz w:val="24"/>
        </w:rPr>
        <w:t>每年</w:t>
      </w:r>
      <w:r>
        <w:rPr>
          <w:rFonts w:hint="eastAsia"/>
          <w:sz w:val="24"/>
          <w:u w:val="single"/>
        </w:rPr>
        <w:t>四</w:t>
      </w:r>
      <w:r>
        <w:rPr>
          <w:rFonts w:hint="eastAsia"/>
          <w:sz w:val="24"/>
        </w:rPr>
        <w:t>次巡检，固定两次巡检每年的寒暑假开学前，另外两次抽检时间放在学期中间，允许实验室检修的而时间，对所有设备进行全面的大型检修、维护，包括：</w:t>
      </w:r>
    </w:p>
    <w:p>
      <w:pPr>
        <w:pStyle w:val="7"/>
        <w:spacing w:line="360" w:lineRule="auto"/>
        <w:ind w:firstLine="360" w:firstLineChars="150"/>
        <w:rPr>
          <w:b/>
          <w:sz w:val="24"/>
          <w:szCs w:val="24"/>
        </w:rPr>
      </w:pPr>
      <w:r>
        <w:rPr>
          <w:rFonts w:hint="eastAsia"/>
          <w:b/>
          <w:sz w:val="24"/>
          <w:szCs w:val="24"/>
        </w:rPr>
        <w:t xml:space="preserve">了解系统运行情况； </w:t>
      </w:r>
    </w:p>
    <w:p>
      <w:pPr>
        <w:pStyle w:val="7"/>
        <w:spacing w:line="360" w:lineRule="auto"/>
        <w:ind w:firstLine="360" w:firstLineChars="150"/>
        <w:rPr>
          <w:b/>
          <w:sz w:val="24"/>
          <w:szCs w:val="24"/>
        </w:rPr>
      </w:pPr>
      <w:r>
        <w:rPr>
          <w:rFonts w:hint="eastAsia"/>
          <w:b/>
          <w:sz w:val="24"/>
          <w:szCs w:val="24"/>
        </w:rPr>
        <w:t xml:space="preserve">诊断操作系统问题； </w:t>
      </w:r>
    </w:p>
    <w:p>
      <w:pPr>
        <w:pStyle w:val="7"/>
        <w:spacing w:line="360" w:lineRule="auto"/>
        <w:ind w:firstLine="360" w:firstLineChars="150"/>
        <w:rPr>
          <w:b/>
          <w:sz w:val="24"/>
          <w:szCs w:val="24"/>
        </w:rPr>
      </w:pPr>
      <w:r>
        <w:rPr>
          <w:rFonts w:hint="eastAsia"/>
          <w:b/>
          <w:sz w:val="24"/>
          <w:szCs w:val="24"/>
        </w:rPr>
        <w:t xml:space="preserve">解决客户系统问题； </w:t>
      </w:r>
    </w:p>
    <w:p>
      <w:pPr>
        <w:pStyle w:val="7"/>
        <w:spacing w:line="360" w:lineRule="auto"/>
        <w:ind w:firstLine="360" w:firstLineChars="150"/>
        <w:rPr>
          <w:b/>
          <w:sz w:val="24"/>
          <w:szCs w:val="24"/>
        </w:rPr>
      </w:pPr>
      <w:r>
        <w:rPr>
          <w:rFonts w:hint="eastAsia"/>
          <w:b/>
          <w:sz w:val="24"/>
          <w:szCs w:val="24"/>
        </w:rPr>
        <w:t xml:space="preserve">系统健康检查； </w:t>
      </w:r>
    </w:p>
    <w:p>
      <w:pPr>
        <w:pStyle w:val="7"/>
        <w:spacing w:line="360" w:lineRule="auto"/>
        <w:ind w:firstLine="360" w:firstLineChars="150"/>
        <w:rPr>
          <w:b/>
          <w:sz w:val="24"/>
          <w:szCs w:val="24"/>
        </w:rPr>
      </w:pPr>
      <w:r>
        <w:rPr>
          <w:rFonts w:hint="eastAsia"/>
          <w:b/>
          <w:sz w:val="24"/>
          <w:szCs w:val="24"/>
        </w:rPr>
        <w:t xml:space="preserve">预防性软件安装； </w:t>
      </w:r>
    </w:p>
    <w:p>
      <w:pPr>
        <w:pStyle w:val="7"/>
        <w:spacing w:line="360" w:lineRule="auto"/>
        <w:ind w:firstLine="360" w:firstLineChars="150"/>
        <w:rPr>
          <w:b/>
          <w:sz w:val="24"/>
          <w:szCs w:val="24"/>
        </w:rPr>
      </w:pPr>
      <w:r>
        <w:rPr>
          <w:rFonts w:hint="eastAsia"/>
          <w:b/>
          <w:sz w:val="24"/>
          <w:szCs w:val="24"/>
        </w:rPr>
        <w:t xml:space="preserve">给予用户与系统相关的技术支持及咨询； </w:t>
      </w:r>
    </w:p>
    <w:p>
      <w:pPr>
        <w:pStyle w:val="7"/>
        <w:spacing w:line="360" w:lineRule="auto"/>
        <w:ind w:firstLine="360" w:firstLineChars="150"/>
        <w:rPr>
          <w:b/>
          <w:sz w:val="24"/>
          <w:szCs w:val="24"/>
        </w:rPr>
      </w:pPr>
      <w:r>
        <w:rPr>
          <w:rFonts w:hint="eastAsia"/>
          <w:b/>
          <w:sz w:val="24"/>
          <w:szCs w:val="24"/>
        </w:rPr>
        <w:t>填写巡检报告定期提交公司总部。</w:t>
      </w:r>
    </w:p>
    <w:p>
      <w:pPr>
        <w:pStyle w:val="7"/>
        <w:spacing w:line="360" w:lineRule="auto"/>
        <w:ind w:firstLine="360" w:firstLineChars="150"/>
        <w:rPr>
          <w:b/>
          <w:sz w:val="24"/>
        </w:rPr>
      </w:pPr>
      <w:r>
        <w:rPr>
          <w:rFonts w:hint="eastAsia"/>
          <w:b/>
          <w:sz w:val="24"/>
        </w:rPr>
        <w:t>特殊情况处理：</w:t>
      </w:r>
    </w:p>
    <w:p>
      <w:pPr>
        <w:pStyle w:val="7"/>
        <w:spacing w:line="360" w:lineRule="auto"/>
        <w:ind w:firstLine="480" w:firstLineChars="200"/>
        <w:rPr>
          <w:sz w:val="24"/>
        </w:rPr>
      </w:pPr>
      <w:r>
        <w:rPr>
          <w:rFonts w:hint="eastAsia"/>
          <w:sz w:val="24"/>
        </w:rPr>
        <w:t>如遇重大突发事件（如自然灾害、人为因素造成系统大面积故障等）或特殊时期（如系统软件全面升级、上级检查、执行重大项目等），确需人员值守时，我公司将派技术人员，提供7*24小时服务现场服务，直至系统恢复正常运行或特殊时期结束。</w:t>
      </w:r>
    </w:p>
    <w:p>
      <w:pPr>
        <w:pStyle w:val="7"/>
        <w:spacing w:line="360" w:lineRule="auto"/>
        <w:rPr>
          <w:b/>
          <w:sz w:val="24"/>
          <w:lang w:val="zh-CN"/>
        </w:rPr>
      </w:pPr>
      <w:bookmarkStart w:id="0" w:name="_Toc911"/>
      <w:bookmarkStart w:id="1" w:name="_Toc16719"/>
      <w:r>
        <w:rPr>
          <w:rFonts w:hint="eastAsia"/>
          <w:b/>
          <w:sz w:val="24"/>
          <w:lang w:val="zh-CN"/>
        </w:rPr>
        <w:t>（</w:t>
      </w:r>
      <w:r>
        <w:rPr>
          <w:rFonts w:hint="eastAsia"/>
          <w:b/>
          <w:sz w:val="24"/>
        </w:rPr>
        <w:t>5</w:t>
      </w:r>
      <w:r>
        <w:rPr>
          <w:rFonts w:hint="eastAsia"/>
          <w:b/>
          <w:sz w:val="24"/>
          <w:lang w:val="zh-CN"/>
        </w:rPr>
        <w:t>）培训、质量保证措施：</w:t>
      </w:r>
      <w:bookmarkEnd w:id="0"/>
      <w:bookmarkEnd w:id="1"/>
    </w:p>
    <w:p>
      <w:pPr>
        <w:pStyle w:val="7"/>
        <w:spacing w:line="360" w:lineRule="auto"/>
        <w:rPr>
          <w:sz w:val="24"/>
        </w:rPr>
      </w:pPr>
      <w:r>
        <w:rPr>
          <w:rFonts w:hint="eastAsia"/>
          <w:sz w:val="24"/>
        </w:rPr>
        <w:t xml:space="preserve">       对于本次投标的实验室设备，我公司将派出专业技术人员，配合用户组织相关人员现场进行系统操作、设备保养、维护等多方面的免费培训。最终使其能达到熟练、独立得使用、操作、日常维护等技能；在设备运达时候给予学校相关实验室负责人，设备安装培训；调试完成后给予设备使用人员系统操作，设备保养等方面的系统培训。并在初次使用过程中技术人员到现场保证设备，项目的正常运行。</w:t>
      </w:r>
    </w:p>
    <w:p>
      <w:pPr>
        <w:pStyle w:val="7"/>
        <w:spacing w:line="360" w:lineRule="auto"/>
        <w:ind w:firstLine="480" w:firstLineChars="200"/>
        <w:rPr>
          <w:sz w:val="24"/>
        </w:rPr>
      </w:pPr>
      <w:r>
        <w:rPr>
          <w:rFonts w:hint="eastAsia"/>
          <w:sz w:val="24"/>
        </w:rPr>
        <w:t>质量保证方面，提供每台设备的出厂合格证书，并在现场完成每台设备的安装调试工作。提供项目安全运转一年所需的备品备件数量，保证实验室的正常运转。</w:t>
      </w:r>
      <w:bookmarkStart w:id="2" w:name="OLE_LINK8"/>
      <w:bookmarkEnd w:id="2"/>
      <w:bookmarkStart w:id="3" w:name="OLE_LINK9"/>
      <w:bookmarkEnd w:id="3"/>
    </w:p>
    <w:p>
      <w:pPr>
        <w:pStyle w:val="7"/>
        <w:spacing w:line="360" w:lineRule="auto"/>
        <w:rPr>
          <w:b/>
          <w:sz w:val="24"/>
        </w:rPr>
      </w:pPr>
      <w:bookmarkStart w:id="4" w:name="_Toc5940"/>
      <w:bookmarkStart w:id="5" w:name="_Toc31032"/>
      <w:r>
        <w:rPr>
          <w:rFonts w:hint="eastAsia"/>
          <w:b/>
          <w:sz w:val="24"/>
        </w:rPr>
        <w:t>（6）所提供的其它免费物品或服务；</w:t>
      </w:r>
      <w:bookmarkEnd w:id="4"/>
      <w:bookmarkEnd w:id="5"/>
    </w:p>
    <w:p>
      <w:pPr>
        <w:pStyle w:val="7"/>
        <w:spacing w:line="360" w:lineRule="auto"/>
        <w:rPr>
          <w:sz w:val="24"/>
        </w:rPr>
      </w:pPr>
      <w:r>
        <w:rPr>
          <w:rFonts w:hint="eastAsia"/>
          <w:sz w:val="24"/>
        </w:rPr>
        <w:t xml:space="preserve">    A.免费运送货上门；</w:t>
      </w:r>
    </w:p>
    <w:p>
      <w:pPr>
        <w:pStyle w:val="7"/>
        <w:spacing w:line="360" w:lineRule="auto"/>
        <w:ind w:firstLine="480" w:firstLineChars="200"/>
        <w:rPr>
          <w:sz w:val="24"/>
        </w:rPr>
      </w:pPr>
      <w:r>
        <w:rPr>
          <w:rFonts w:hint="eastAsia"/>
          <w:sz w:val="24"/>
        </w:rPr>
        <w:t>B.免费对全部产品进行安装、调试，直到所有产品正常运行投入使用；</w:t>
      </w:r>
    </w:p>
    <w:p>
      <w:pPr>
        <w:pStyle w:val="7"/>
        <w:spacing w:line="360" w:lineRule="auto"/>
        <w:ind w:firstLine="480" w:firstLineChars="200"/>
        <w:rPr>
          <w:sz w:val="24"/>
        </w:rPr>
      </w:pPr>
      <w:r>
        <w:rPr>
          <w:rFonts w:hint="eastAsia"/>
          <w:sz w:val="24"/>
        </w:rPr>
        <w:t>C.免费提供技术咨询、技术解决方案；</w:t>
      </w:r>
    </w:p>
    <w:p>
      <w:pPr>
        <w:pStyle w:val="7"/>
        <w:spacing w:line="360" w:lineRule="auto"/>
        <w:ind w:firstLine="480" w:firstLineChars="200"/>
        <w:rPr>
          <w:sz w:val="24"/>
        </w:rPr>
      </w:pPr>
      <w:r>
        <w:rPr>
          <w:rFonts w:hint="eastAsia"/>
          <w:sz w:val="24"/>
        </w:rPr>
        <w:t>D.免费培训技术操作人员</w:t>
      </w:r>
    </w:p>
    <w:p>
      <w:pPr>
        <w:pStyle w:val="7"/>
        <w:spacing w:line="360" w:lineRule="auto"/>
        <w:ind w:firstLine="480" w:firstLineChars="200"/>
        <w:rPr>
          <w:sz w:val="24"/>
          <w:szCs w:val="24"/>
        </w:rPr>
      </w:pPr>
      <w:r>
        <w:rPr>
          <w:rFonts w:hint="eastAsia"/>
          <w:sz w:val="24"/>
          <w:szCs w:val="24"/>
        </w:rPr>
        <w:t>E. 为所供货物的每一适当的单台设备提供详细的操作和维护手册；</w:t>
      </w:r>
    </w:p>
    <w:p>
      <w:pPr>
        <w:pStyle w:val="7"/>
        <w:spacing w:line="360" w:lineRule="auto"/>
        <w:rPr>
          <w:b/>
          <w:sz w:val="24"/>
        </w:rPr>
      </w:pPr>
      <w:bookmarkStart w:id="6" w:name="_Toc5923"/>
      <w:bookmarkStart w:id="7" w:name="_Toc2062"/>
      <w:r>
        <w:rPr>
          <w:rFonts w:hint="eastAsia"/>
          <w:b/>
          <w:sz w:val="24"/>
          <w:szCs w:val="24"/>
        </w:rPr>
        <w:t>（7）维修单位名称及地点</w:t>
      </w:r>
    </w:p>
    <w:p>
      <w:pPr>
        <w:pStyle w:val="7"/>
        <w:spacing w:line="360" w:lineRule="auto"/>
        <w:ind w:firstLine="480" w:firstLineChars="200"/>
        <w:rPr>
          <w:sz w:val="24"/>
          <w:u w:val="single"/>
        </w:rPr>
      </w:pPr>
      <w:r>
        <w:rPr>
          <w:rFonts w:hint="eastAsia"/>
          <w:sz w:val="24"/>
          <w:szCs w:val="24"/>
        </w:rPr>
        <w:t>维修单位名称：</w:t>
      </w:r>
      <w:r>
        <w:rPr>
          <w:rFonts w:hint="eastAsia"/>
          <w:sz w:val="24"/>
          <w:szCs w:val="24"/>
          <w:u w:val="single"/>
        </w:rPr>
        <w:t>河南锋恩电气有限公司</w:t>
      </w:r>
    </w:p>
    <w:p>
      <w:pPr>
        <w:pStyle w:val="7"/>
        <w:spacing w:line="360" w:lineRule="auto"/>
        <w:ind w:firstLine="480" w:firstLineChars="200"/>
      </w:pPr>
      <w:r>
        <w:rPr>
          <w:rFonts w:hint="eastAsia"/>
          <w:sz w:val="24"/>
          <w:szCs w:val="24"/>
        </w:rPr>
        <w:t>售后服务地点：</w:t>
      </w:r>
      <w:r>
        <w:rPr>
          <w:rFonts w:hint="eastAsia"/>
          <w:sz w:val="24"/>
          <w:szCs w:val="24"/>
          <w:u w:val="single"/>
        </w:rPr>
        <w:t>郑州高新技术产业开发区长椿路11号河南省国家大学科技园孵化园区1号孵化楼1515号</w:t>
      </w:r>
    </w:p>
    <w:p>
      <w:pPr>
        <w:pStyle w:val="7"/>
        <w:spacing w:line="360" w:lineRule="auto"/>
        <w:rPr>
          <w:b/>
          <w:sz w:val="24"/>
        </w:rPr>
      </w:pPr>
      <w:r>
        <w:rPr>
          <w:rFonts w:hint="eastAsia"/>
          <w:b/>
          <w:sz w:val="24"/>
          <w:szCs w:val="24"/>
        </w:rPr>
        <w:t>（8）质保期内和质保期外的收费标准：</w:t>
      </w:r>
      <w:bookmarkEnd w:id="6"/>
      <w:bookmarkEnd w:id="7"/>
    </w:p>
    <w:p>
      <w:pPr>
        <w:pStyle w:val="7"/>
        <w:spacing w:line="360" w:lineRule="auto"/>
        <w:ind w:firstLine="480" w:firstLineChars="200"/>
        <w:rPr>
          <w:sz w:val="24"/>
        </w:rPr>
      </w:pPr>
      <w:r>
        <w:rPr>
          <w:rFonts w:hint="eastAsia"/>
          <w:sz w:val="24"/>
        </w:rPr>
        <w:t>在质保期内，我公司对用户实行：人工免费上门服务，免费软件升级，免费为用户设备维护、保养，保证用户设备正常运行。对于在质保期内更换的硬件故障部件，对于本次投标项目，我公司直接对学院用户负责，直接进行售后上门检修，质保期内的零配件上门更换等一切服务，也均由我单位与设备生产厂商共同提供完成；</w:t>
      </w:r>
    </w:p>
    <w:p>
      <w:pPr>
        <w:pStyle w:val="7"/>
        <w:spacing w:line="360" w:lineRule="auto"/>
        <w:ind w:firstLine="480" w:firstLineChars="200"/>
        <w:rPr>
          <w:lang w:val="zh-CN"/>
        </w:rPr>
      </w:pPr>
      <w:r>
        <w:rPr>
          <w:rFonts w:hint="eastAsia"/>
          <w:sz w:val="24"/>
          <w:szCs w:val="22"/>
          <w:lang w:val="zh-CN" w:bidi="zh-CN"/>
        </w:rPr>
        <w:t>质保期外，对于用户设备故障，我公司依然免费上门为用户服务。对于软件方面的故障，配合用户，现场处理；对于设备硬件故障，需要更换零配件时，我公司只收取零件成本费用。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sz w:val="24"/>
          <w:szCs w:val="24"/>
        </w:rPr>
      </w:pPr>
      <w:r>
        <w:rPr>
          <w:rFonts w:hint="eastAsia"/>
          <w:b/>
          <w:sz w:val="24"/>
          <w:szCs w:val="24"/>
          <w:lang w:eastAsia="zh-CN"/>
        </w:rPr>
        <w:t>（</w:t>
      </w:r>
      <w:r>
        <w:rPr>
          <w:rFonts w:hint="eastAsia"/>
          <w:b/>
          <w:sz w:val="24"/>
          <w:szCs w:val="24"/>
          <w:lang w:val="en-US" w:eastAsia="zh-CN"/>
        </w:rPr>
        <w:t>9</w:t>
      </w:r>
      <w:r>
        <w:rPr>
          <w:rFonts w:hint="eastAsia"/>
          <w:b/>
          <w:sz w:val="24"/>
          <w:szCs w:val="24"/>
          <w:lang w:eastAsia="zh-CN"/>
        </w:rPr>
        <w:t>）</w:t>
      </w:r>
      <w:r>
        <w:rPr>
          <w:rFonts w:hint="eastAsia"/>
          <w:b/>
          <w:sz w:val="24"/>
          <w:szCs w:val="24"/>
        </w:rPr>
        <w:t>人员培训计划及培训方案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cs="宋体" w:asciiTheme="minorEastAsia" w:hAnsiTheme="minorEastAsia" w:eastAsiaTheme="minorEastAsia"/>
          <w:b/>
          <w:bCs/>
          <w:sz w:val="24"/>
        </w:rPr>
      </w:pPr>
      <w:r>
        <w:rPr>
          <w:rFonts w:hint="eastAsia" w:cs="宋体" w:asciiTheme="minorEastAsia" w:hAnsiTheme="minorEastAsia" w:eastAsiaTheme="minorEastAsia"/>
          <w:b/>
          <w:bCs/>
          <w:sz w:val="24"/>
          <w:szCs w:val="24"/>
        </w:rPr>
        <w:t>人员培训计划：</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508"/>
        <w:gridCol w:w="1981"/>
        <w:gridCol w:w="231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2" w:type="dxa"/>
            <w:vAlign w:val="center"/>
          </w:tcPr>
          <w:p>
            <w:pPr>
              <w:pStyle w:val="7"/>
              <w:spacing w:line="360" w:lineRule="auto"/>
              <w:jc w:val="center"/>
              <w:rPr>
                <w:b/>
                <w:sz w:val="24"/>
                <w:szCs w:val="24"/>
                <w:lang w:bidi="zh-CN"/>
              </w:rPr>
            </w:pPr>
            <w:r>
              <w:rPr>
                <w:rFonts w:hint="eastAsia"/>
                <w:b/>
                <w:sz w:val="24"/>
                <w:szCs w:val="24"/>
              </w:rPr>
              <w:t>时间</w:t>
            </w:r>
          </w:p>
        </w:tc>
        <w:tc>
          <w:tcPr>
            <w:tcW w:w="1509" w:type="dxa"/>
            <w:vAlign w:val="center"/>
          </w:tcPr>
          <w:p>
            <w:pPr>
              <w:pStyle w:val="7"/>
              <w:spacing w:line="360" w:lineRule="auto"/>
              <w:jc w:val="center"/>
              <w:rPr>
                <w:b/>
                <w:sz w:val="24"/>
                <w:szCs w:val="24"/>
                <w:lang w:bidi="zh-CN"/>
              </w:rPr>
            </w:pPr>
            <w:r>
              <w:rPr>
                <w:rFonts w:hint="eastAsia"/>
                <w:b/>
                <w:sz w:val="24"/>
                <w:szCs w:val="24"/>
              </w:rPr>
              <w:t>课程名称</w:t>
            </w:r>
          </w:p>
        </w:tc>
        <w:tc>
          <w:tcPr>
            <w:tcW w:w="1982" w:type="dxa"/>
            <w:vAlign w:val="center"/>
          </w:tcPr>
          <w:p>
            <w:pPr>
              <w:pStyle w:val="7"/>
              <w:spacing w:line="360" w:lineRule="auto"/>
              <w:jc w:val="center"/>
              <w:rPr>
                <w:b/>
                <w:sz w:val="24"/>
                <w:szCs w:val="24"/>
                <w:lang w:bidi="zh-CN"/>
              </w:rPr>
            </w:pPr>
            <w:r>
              <w:rPr>
                <w:rFonts w:hint="eastAsia"/>
                <w:b/>
                <w:sz w:val="24"/>
                <w:szCs w:val="24"/>
              </w:rPr>
              <w:t>培训内容</w:t>
            </w:r>
          </w:p>
        </w:tc>
        <w:tc>
          <w:tcPr>
            <w:tcW w:w="2317" w:type="dxa"/>
            <w:vAlign w:val="center"/>
          </w:tcPr>
          <w:p>
            <w:pPr>
              <w:pStyle w:val="7"/>
              <w:spacing w:line="360" w:lineRule="auto"/>
              <w:jc w:val="center"/>
              <w:rPr>
                <w:b/>
                <w:sz w:val="24"/>
                <w:szCs w:val="24"/>
                <w:lang w:bidi="zh-CN"/>
              </w:rPr>
            </w:pPr>
            <w:r>
              <w:rPr>
                <w:rFonts w:hint="eastAsia"/>
                <w:b/>
                <w:sz w:val="24"/>
                <w:szCs w:val="24"/>
              </w:rPr>
              <w:t>培训目的</w:t>
            </w:r>
          </w:p>
        </w:tc>
        <w:tc>
          <w:tcPr>
            <w:tcW w:w="1706" w:type="dxa"/>
            <w:vAlign w:val="center"/>
          </w:tcPr>
          <w:p>
            <w:pPr>
              <w:pStyle w:val="7"/>
              <w:spacing w:line="360" w:lineRule="auto"/>
              <w:jc w:val="center"/>
              <w:rPr>
                <w:b/>
                <w:sz w:val="24"/>
                <w:szCs w:val="24"/>
                <w:lang w:bidi="zh-CN"/>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2" w:type="dxa"/>
            <w:vAlign w:val="center"/>
          </w:tcPr>
          <w:p>
            <w:pPr>
              <w:pStyle w:val="7"/>
              <w:spacing w:line="360" w:lineRule="auto"/>
              <w:rPr>
                <w:b/>
                <w:sz w:val="24"/>
                <w:szCs w:val="24"/>
                <w:lang w:bidi="zh-CN"/>
              </w:rPr>
            </w:pPr>
            <w:r>
              <w:rPr>
                <w:rFonts w:hint="eastAsia"/>
                <w:b/>
                <w:sz w:val="24"/>
                <w:szCs w:val="24"/>
              </w:rPr>
              <w:t>第一天</w:t>
            </w:r>
          </w:p>
        </w:tc>
        <w:tc>
          <w:tcPr>
            <w:tcW w:w="1509" w:type="dxa"/>
            <w:vAlign w:val="center"/>
          </w:tcPr>
          <w:p>
            <w:pPr>
              <w:pStyle w:val="7"/>
              <w:spacing w:line="360" w:lineRule="auto"/>
              <w:rPr>
                <w:sz w:val="24"/>
                <w:szCs w:val="24"/>
                <w:lang w:bidi="zh-CN"/>
              </w:rPr>
            </w:pPr>
            <w:r>
              <w:rPr>
                <w:rFonts w:hint="eastAsia"/>
                <w:sz w:val="24"/>
                <w:szCs w:val="24"/>
              </w:rPr>
              <w:t>实验室整体环境介绍</w:t>
            </w:r>
          </w:p>
        </w:tc>
        <w:tc>
          <w:tcPr>
            <w:tcW w:w="1982" w:type="dxa"/>
            <w:vAlign w:val="center"/>
          </w:tcPr>
          <w:p>
            <w:pPr>
              <w:pStyle w:val="7"/>
              <w:spacing w:line="360" w:lineRule="auto"/>
              <w:rPr>
                <w:sz w:val="24"/>
                <w:szCs w:val="24"/>
                <w:lang w:bidi="zh-CN"/>
              </w:rPr>
            </w:pPr>
            <w:r>
              <w:rPr>
                <w:rFonts w:hint="eastAsia"/>
                <w:sz w:val="24"/>
                <w:szCs w:val="24"/>
              </w:rPr>
              <w:t>硬件环境与软件简单介绍</w:t>
            </w:r>
          </w:p>
        </w:tc>
        <w:tc>
          <w:tcPr>
            <w:tcW w:w="2317" w:type="dxa"/>
            <w:vAlign w:val="center"/>
          </w:tcPr>
          <w:p>
            <w:pPr>
              <w:pStyle w:val="7"/>
              <w:spacing w:line="360" w:lineRule="auto"/>
              <w:rPr>
                <w:sz w:val="24"/>
                <w:szCs w:val="24"/>
                <w:lang w:bidi="zh-CN"/>
              </w:rPr>
            </w:pPr>
            <w:r>
              <w:rPr>
                <w:rFonts w:hint="eastAsia"/>
                <w:sz w:val="24"/>
                <w:szCs w:val="24"/>
              </w:rPr>
              <w:t>通过此课程的学习，使培训人员熟悉设备基本安装、产品配置、部署、产品的规格。</w:t>
            </w:r>
          </w:p>
        </w:tc>
        <w:tc>
          <w:tcPr>
            <w:tcW w:w="1706" w:type="dxa"/>
            <w:vAlign w:val="center"/>
          </w:tcPr>
          <w:p>
            <w:pPr>
              <w:pStyle w:val="7"/>
              <w:spacing w:line="360" w:lineRule="auto"/>
              <w:rPr>
                <w:sz w:val="24"/>
                <w:szCs w:val="24"/>
                <w:lang w:bidi="zh-CN"/>
              </w:rPr>
            </w:pPr>
            <w:r>
              <w:rPr>
                <w:rFonts w:hint="eastAsia"/>
                <w:sz w:val="24"/>
                <w:szCs w:val="24"/>
              </w:rPr>
              <w:t>基本讲解与实际操作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2" w:type="dxa"/>
            <w:vAlign w:val="center"/>
          </w:tcPr>
          <w:p>
            <w:pPr>
              <w:pStyle w:val="7"/>
              <w:spacing w:line="360" w:lineRule="auto"/>
              <w:rPr>
                <w:b/>
                <w:sz w:val="24"/>
                <w:szCs w:val="24"/>
                <w:lang w:bidi="zh-CN"/>
              </w:rPr>
            </w:pPr>
            <w:r>
              <w:rPr>
                <w:rFonts w:hint="eastAsia"/>
                <w:b/>
                <w:sz w:val="24"/>
                <w:szCs w:val="24"/>
              </w:rPr>
              <w:t>第二天</w:t>
            </w:r>
          </w:p>
        </w:tc>
        <w:tc>
          <w:tcPr>
            <w:tcW w:w="1509" w:type="dxa"/>
            <w:vAlign w:val="center"/>
          </w:tcPr>
          <w:p>
            <w:pPr>
              <w:pStyle w:val="7"/>
              <w:spacing w:line="360" w:lineRule="auto"/>
              <w:rPr>
                <w:sz w:val="24"/>
                <w:szCs w:val="24"/>
                <w:lang w:bidi="zh-CN"/>
              </w:rPr>
            </w:pPr>
            <w:r>
              <w:rPr>
                <w:rFonts w:hint="eastAsia"/>
                <w:sz w:val="24"/>
                <w:szCs w:val="24"/>
              </w:rPr>
              <w:t>实验室硬件基本维护介绍</w:t>
            </w:r>
          </w:p>
        </w:tc>
        <w:tc>
          <w:tcPr>
            <w:tcW w:w="1982" w:type="dxa"/>
            <w:vAlign w:val="center"/>
          </w:tcPr>
          <w:p>
            <w:pPr>
              <w:pStyle w:val="7"/>
              <w:spacing w:line="360" w:lineRule="auto"/>
              <w:rPr>
                <w:sz w:val="24"/>
                <w:szCs w:val="24"/>
                <w:lang w:bidi="zh-CN"/>
              </w:rPr>
            </w:pPr>
            <w:r>
              <w:rPr>
                <w:rFonts w:hint="eastAsia"/>
                <w:sz w:val="24"/>
                <w:szCs w:val="24"/>
              </w:rPr>
              <w:t>全面介绍实验室硬件设备，与基本维护原理与相关维护电话</w:t>
            </w:r>
          </w:p>
        </w:tc>
        <w:tc>
          <w:tcPr>
            <w:tcW w:w="2317" w:type="dxa"/>
            <w:vAlign w:val="center"/>
          </w:tcPr>
          <w:p>
            <w:pPr>
              <w:pStyle w:val="7"/>
              <w:spacing w:line="360" w:lineRule="auto"/>
              <w:rPr>
                <w:sz w:val="24"/>
                <w:szCs w:val="24"/>
                <w:lang w:bidi="zh-CN"/>
              </w:rPr>
            </w:pPr>
            <w:r>
              <w:rPr>
                <w:rFonts w:hint="eastAsia"/>
                <w:sz w:val="24"/>
                <w:szCs w:val="24"/>
              </w:rPr>
              <w:t>通过此课程的学习和，使培训人员熟悉系统产品配置与硬件信息</w:t>
            </w:r>
          </w:p>
        </w:tc>
        <w:tc>
          <w:tcPr>
            <w:tcW w:w="1706" w:type="dxa"/>
            <w:vAlign w:val="center"/>
          </w:tcPr>
          <w:p>
            <w:pPr>
              <w:pStyle w:val="7"/>
              <w:spacing w:line="360" w:lineRule="auto"/>
              <w:rPr>
                <w:sz w:val="24"/>
                <w:szCs w:val="24"/>
                <w:lang w:bidi="zh-CN"/>
              </w:rPr>
            </w:pPr>
            <w:r>
              <w:rPr>
                <w:rFonts w:hint="eastAsia"/>
                <w:sz w:val="24"/>
                <w:szCs w:val="24"/>
              </w:rPr>
              <w:t>基本讲解与实际操作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2" w:type="dxa"/>
            <w:vAlign w:val="center"/>
          </w:tcPr>
          <w:p>
            <w:pPr>
              <w:pStyle w:val="7"/>
              <w:spacing w:line="360" w:lineRule="auto"/>
              <w:rPr>
                <w:b/>
                <w:sz w:val="24"/>
                <w:szCs w:val="24"/>
                <w:lang w:bidi="zh-CN"/>
              </w:rPr>
            </w:pPr>
            <w:r>
              <w:rPr>
                <w:rFonts w:hint="eastAsia"/>
                <w:b/>
                <w:sz w:val="24"/>
                <w:szCs w:val="24"/>
              </w:rPr>
              <w:t>第三天</w:t>
            </w:r>
          </w:p>
        </w:tc>
        <w:tc>
          <w:tcPr>
            <w:tcW w:w="1509" w:type="dxa"/>
            <w:vAlign w:val="center"/>
          </w:tcPr>
          <w:p>
            <w:pPr>
              <w:pStyle w:val="7"/>
              <w:spacing w:line="360" w:lineRule="auto"/>
              <w:rPr>
                <w:sz w:val="24"/>
                <w:szCs w:val="24"/>
                <w:lang w:bidi="zh-CN"/>
              </w:rPr>
            </w:pPr>
            <w:r>
              <w:rPr>
                <w:rFonts w:hint="eastAsia"/>
                <w:sz w:val="24"/>
                <w:szCs w:val="24"/>
              </w:rPr>
              <w:t>全面介绍实验室软件产品</w:t>
            </w:r>
          </w:p>
        </w:tc>
        <w:tc>
          <w:tcPr>
            <w:tcW w:w="1982" w:type="dxa"/>
            <w:vAlign w:val="center"/>
          </w:tcPr>
          <w:p>
            <w:pPr>
              <w:pStyle w:val="7"/>
              <w:spacing w:line="360" w:lineRule="auto"/>
              <w:rPr>
                <w:sz w:val="24"/>
                <w:szCs w:val="24"/>
                <w:lang w:bidi="zh-CN"/>
              </w:rPr>
            </w:pPr>
            <w:r>
              <w:rPr>
                <w:rFonts w:hint="eastAsia"/>
                <w:sz w:val="24"/>
                <w:szCs w:val="24"/>
              </w:rPr>
              <w:t>对实验室相关软件产品，目前软件产品在市场上的应用环境，相关操作做出具体讲解，针对老师</w:t>
            </w:r>
          </w:p>
        </w:tc>
        <w:tc>
          <w:tcPr>
            <w:tcW w:w="2317" w:type="dxa"/>
            <w:vAlign w:val="center"/>
          </w:tcPr>
          <w:p>
            <w:pPr>
              <w:pStyle w:val="7"/>
              <w:spacing w:line="360" w:lineRule="auto"/>
              <w:rPr>
                <w:sz w:val="24"/>
                <w:szCs w:val="24"/>
                <w:lang w:bidi="zh-CN"/>
              </w:rPr>
            </w:pPr>
            <w:r>
              <w:rPr>
                <w:rFonts w:hint="eastAsia"/>
                <w:sz w:val="24"/>
                <w:szCs w:val="24"/>
              </w:rPr>
              <w:t>通过此课程的学习和使培训人员全面了解软件产品的内容使用方法，与授课方法。</w:t>
            </w:r>
          </w:p>
        </w:tc>
        <w:tc>
          <w:tcPr>
            <w:tcW w:w="1706" w:type="dxa"/>
            <w:vAlign w:val="center"/>
          </w:tcPr>
          <w:p>
            <w:pPr>
              <w:pStyle w:val="7"/>
              <w:spacing w:line="360" w:lineRule="auto"/>
              <w:rPr>
                <w:sz w:val="24"/>
                <w:szCs w:val="24"/>
                <w:lang w:bidi="zh-CN"/>
              </w:rPr>
            </w:pPr>
            <w:r>
              <w:rPr>
                <w:rFonts w:hint="eastAsia"/>
                <w:sz w:val="24"/>
                <w:szCs w:val="24"/>
              </w:rPr>
              <w:t>基本讲解与实际操作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2" w:type="dxa"/>
            <w:vAlign w:val="center"/>
          </w:tcPr>
          <w:p>
            <w:pPr>
              <w:pStyle w:val="7"/>
              <w:spacing w:line="360" w:lineRule="auto"/>
              <w:rPr>
                <w:b/>
                <w:sz w:val="24"/>
                <w:szCs w:val="24"/>
                <w:lang w:bidi="zh-CN"/>
              </w:rPr>
            </w:pPr>
            <w:r>
              <w:rPr>
                <w:rFonts w:hint="eastAsia"/>
                <w:b/>
                <w:sz w:val="24"/>
                <w:szCs w:val="24"/>
              </w:rPr>
              <w:t>第四天</w:t>
            </w:r>
          </w:p>
        </w:tc>
        <w:tc>
          <w:tcPr>
            <w:tcW w:w="1509" w:type="dxa"/>
            <w:vAlign w:val="center"/>
          </w:tcPr>
          <w:p>
            <w:pPr>
              <w:pStyle w:val="7"/>
              <w:spacing w:line="360" w:lineRule="auto"/>
              <w:rPr>
                <w:sz w:val="24"/>
                <w:szCs w:val="24"/>
                <w:lang w:bidi="zh-CN"/>
              </w:rPr>
            </w:pPr>
            <w:r>
              <w:rPr>
                <w:rFonts w:hint="eastAsia"/>
                <w:sz w:val="24"/>
                <w:szCs w:val="24"/>
              </w:rPr>
              <w:t>全面介绍实验室软件产品</w:t>
            </w:r>
          </w:p>
        </w:tc>
        <w:tc>
          <w:tcPr>
            <w:tcW w:w="1982" w:type="dxa"/>
            <w:vAlign w:val="center"/>
          </w:tcPr>
          <w:p>
            <w:pPr>
              <w:pStyle w:val="7"/>
              <w:spacing w:line="360" w:lineRule="auto"/>
              <w:rPr>
                <w:sz w:val="24"/>
                <w:szCs w:val="24"/>
                <w:lang w:bidi="zh-CN"/>
              </w:rPr>
            </w:pPr>
            <w:r>
              <w:rPr>
                <w:rFonts w:hint="eastAsia"/>
                <w:sz w:val="24"/>
                <w:szCs w:val="24"/>
              </w:rPr>
              <w:t>对实验室相关软件产品，目前软件产品在市场上的应用环境，相关操作做出具体讲解，针对学生</w:t>
            </w:r>
          </w:p>
        </w:tc>
        <w:tc>
          <w:tcPr>
            <w:tcW w:w="2317" w:type="dxa"/>
            <w:vAlign w:val="center"/>
          </w:tcPr>
          <w:p>
            <w:pPr>
              <w:pStyle w:val="7"/>
              <w:spacing w:line="360" w:lineRule="auto"/>
              <w:rPr>
                <w:sz w:val="24"/>
                <w:szCs w:val="24"/>
                <w:lang w:bidi="zh-CN"/>
              </w:rPr>
            </w:pPr>
            <w:r>
              <w:rPr>
                <w:rFonts w:hint="eastAsia"/>
                <w:sz w:val="24"/>
                <w:szCs w:val="24"/>
              </w:rPr>
              <w:t>通过此课程的学习和使培训人员全面了解软件产品的内容使用方法，与学习方法。</w:t>
            </w:r>
          </w:p>
        </w:tc>
        <w:tc>
          <w:tcPr>
            <w:tcW w:w="1706" w:type="dxa"/>
            <w:vAlign w:val="center"/>
          </w:tcPr>
          <w:p>
            <w:pPr>
              <w:pStyle w:val="7"/>
              <w:spacing w:line="360" w:lineRule="auto"/>
              <w:rPr>
                <w:sz w:val="24"/>
                <w:szCs w:val="24"/>
                <w:lang w:bidi="zh-CN"/>
              </w:rPr>
            </w:pPr>
            <w:r>
              <w:rPr>
                <w:rFonts w:hint="eastAsia"/>
                <w:sz w:val="24"/>
                <w:szCs w:val="24"/>
              </w:rPr>
              <w:t>基本讲解与实际操作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2" w:type="dxa"/>
            <w:vAlign w:val="center"/>
          </w:tcPr>
          <w:p>
            <w:pPr>
              <w:pStyle w:val="7"/>
              <w:spacing w:line="360" w:lineRule="auto"/>
              <w:rPr>
                <w:b/>
                <w:sz w:val="24"/>
                <w:szCs w:val="24"/>
                <w:lang w:bidi="zh-CN"/>
              </w:rPr>
            </w:pPr>
            <w:r>
              <w:rPr>
                <w:rFonts w:hint="eastAsia"/>
                <w:b/>
                <w:sz w:val="24"/>
                <w:szCs w:val="24"/>
              </w:rPr>
              <w:t>第五天</w:t>
            </w:r>
          </w:p>
        </w:tc>
        <w:tc>
          <w:tcPr>
            <w:tcW w:w="1509" w:type="dxa"/>
            <w:vAlign w:val="center"/>
          </w:tcPr>
          <w:p>
            <w:pPr>
              <w:pStyle w:val="7"/>
              <w:spacing w:line="360" w:lineRule="auto"/>
              <w:rPr>
                <w:sz w:val="24"/>
                <w:szCs w:val="24"/>
                <w:lang w:bidi="zh-CN"/>
              </w:rPr>
            </w:pPr>
            <w:r>
              <w:rPr>
                <w:rFonts w:hint="eastAsia"/>
                <w:sz w:val="24"/>
                <w:szCs w:val="24"/>
              </w:rPr>
              <w:t>综合总结实验室软硬件，环境与后期开发内容</w:t>
            </w:r>
          </w:p>
        </w:tc>
        <w:tc>
          <w:tcPr>
            <w:tcW w:w="1982" w:type="dxa"/>
            <w:vAlign w:val="center"/>
          </w:tcPr>
          <w:p>
            <w:pPr>
              <w:pStyle w:val="7"/>
              <w:spacing w:line="360" w:lineRule="auto"/>
              <w:rPr>
                <w:sz w:val="24"/>
                <w:szCs w:val="24"/>
                <w:lang w:bidi="zh-CN"/>
              </w:rPr>
            </w:pPr>
            <w:r>
              <w:rPr>
                <w:rFonts w:hint="eastAsia"/>
                <w:sz w:val="24"/>
                <w:szCs w:val="24"/>
              </w:rPr>
              <w:t>系统配置讲解及实机演示操作。</w:t>
            </w:r>
          </w:p>
        </w:tc>
        <w:tc>
          <w:tcPr>
            <w:tcW w:w="2317" w:type="dxa"/>
            <w:vAlign w:val="center"/>
          </w:tcPr>
          <w:p>
            <w:pPr>
              <w:pStyle w:val="7"/>
              <w:spacing w:line="360" w:lineRule="auto"/>
              <w:rPr>
                <w:sz w:val="24"/>
                <w:szCs w:val="24"/>
                <w:lang w:bidi="zh-CN"/>
              </w:rPr>
            </w:pPr>
            <w:r>
              <w:rPr>
                <w:rFonts w:hint="eastAsia"/>
                <w:sz w:val="24"/>
                <w:szCs w:val="24"/>
              </w:rPr>
              <w:t>整体介绍所有产品，是学生与老师都能熟练使用所有软硬件产品。</w:t>
            </w:r>
          </w:p>
        </w:tc>
        <w:tc>
          <w:tcPr>
            <w:tcW w:w="1706" w:type="dxa"/>
            <w:vAlign w:val="center"/>
          </w:tcPr>
          <w:p>
            <w:pPr>
              <w:pStyle w:val="7"/>
              <w:spacing w:line="360" w:lineRule="auto"/>
              <w:rPr>
                <w:sz w:val="24"/>
                <w:szCs w:val="24"/>
                <w:lang w:bidi="zh-CN"/>
              </w:rPr>
            </w:pPr>
            <w:r>
              <w:rPr>
                <w:rFonts w:hint="eastAsia"/>
                <w:sz w:val="24"/>
                <w:szCs w:val="24"/>
              </w:rPr>
              <w:t>基本讲解与实际操作</w:t>
            </w:r>
          </w:p>
        </w:tc>
      </w:tr>
    </w:tbl>
    <w:p>
      <w:pPr>
        <w:pStyle w:val="2"/>
        <w:rPr>
          <w:color w:val="auto"/>
        </w:rPr>
      </w:pPr>
    </w:p>
    <w:p>
      <w:pPr>
        <w:spacing w:line="36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培训方案：</w:t>
      </w:r>
    </w:p>
    <w:p>
      <w:pPr>
        <w:spacing w:line="48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针对郑州大学软件学院分布式能源安全实验室采购项目，我们将在建设项目移交给用户运行前对最终用户进行相关的技术培训，此外，每次的系统升级或者根据用户的要求，我们将提供不定期的技术培训服务。该类技术培训主要分为以下两部分：</w:t>
      </w:r>
    </w:p>
    <w:p>
      <w:pPr>
        <w:spacing w:line="48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szCs w:val="24"/>
        </w:rPr>
        <w:t>(1) 操作用户培训：</w:t>
      </w:r>
      <w:r>
        <w:rPr>
          <w:rFonts w:hint="eastAsia" w:asciiTheme="minorEastAsia" w:hAnsiTheme="minorEastAsia" w:eastAsiaTheme="minorEastAsia" w:cstheme="minorEastAsia"/>
          <w:color w:val="auto"/>
          <w:sz w:val="24"/>
          <w:szCs w:val="24"/>
        </w:rPr>
        <w:t>针对系统日常运行操作进行集中培训，培训对象主要是授课老师，内容为日常教学操作步骤等。</w:t>
      </w:r>
    </w:p>
    <w:p>
      <w:pPr>
        <w:spacing w:line="48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szCs w:val="24"/>
        </w:rPr>
        <w:t>(2) 系统管理用户培训：</w:t>
      </w:r>
      <w:r>
        <w:rPr>
          <w:rFonts w:hint="eastAsia" w:asciiTheme="minorEastAsia" w:hAnsiTheme="minorEastAsia" w:eastAsiaTheme="minorEastAsia" w:cstheme="minorEastAsia"/>
          <w:color w:val="auto"/>
          <w:sz w:val="24"/>
          <w:szCs w:val="24"/>
        </w:rPr>
        <w:t>针对系统日常管理、维护、安装进行培训，培训对象为技术管理人员，内容为系统常见技术问题处理方式等。</w:t>
      </w:r>
    </w:p>
    <w:p>
      <w:pPr>
        <w:spacing w:line="48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系统安装调试完毕后，免费进行系统的培训工作，我公司对用户老师、技术人员进行免费的硬件维护培训，使用户撑握硬件使用技巧提高硬件使用寿命；对实验系统教学软件、实验内容进行系统的培训，以确保使用本系统的老师能够正常使用系统进行教学工作，满足用户的教学需求。对将来设备使用过程中，可能出现的问题，提供无偿的电话及上门指导技术支持。针对用户我公司长期提供电话服务，长期提供技术资料。具体培训计划如下：</w:t>
      </w:r>
    </w:p>
    <w:tbl>
      <w:tblPr>
        <w:tblStyle w:val="15"/>
        <w:tblW w:w="8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2"/>
        <w:gridCol w:w="1445"/>
        <w:gridCol w:w="1843"/>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709" w:type="dxa"/>
            <w:vAlign w:val="center"/>
          </w:tcPr>
          <w:p>
            <w:pPr>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szCs w:val="24"/>
              </w:rPr>
              <w:t>编号</w:t>
            </w:r>
          </w:p>
        </w:tc>
        <w:tc>
          <w:tcPr>
            <w:tcW w:w="2382" w:type="dxa"/>
            <w:vAlign w:val="center"/>
          </w:tcPr>
          <w:p>
            <w:pPr>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szCs w:val="24"/>
              </w:rPr>
              <w:t>培训内容</w:t>
            </w:r>
          </w:p>
        </w:tc>
        <w:tc>
          <w:tcPr>
            <w:tcW w:w="1445" w:type="dxa"/>
            <w:vAlign w:val="center"/>
          </w:tcPr>
          <w:p>
            <w:pPr>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szCs w:val="24"/>
              </w:rPr>
              <w:t>培训方式</w:t>
            </w:r>
          </w:p>
        </w:tc>
        <w:tc>
          <w:tcPr>
            <w:tcW w:w="1843" w:type="dxa"/>
            <w:vAlign w:val="center"/>
          </w:tcPr>
          <w:p>
            <w:pPr>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szCs w:val="24"/>
              </w:rPr>
              <w:t>培训人数</w:t>
            </w:r>
          </w:p>
        </w:tc>
        <w:tc>
          <w:tcPr>
            <w:tcW w:w="1871" w:type="dxa"/>
            <w:vAlign w:val="center"/>
          </w:tcPr>
          <w:p>
            <w:pPr>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709"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1</w:t>
            </w:r>
          </w:p>
        </w:tc>
        <w:tc>
          <w:tcPr>
            <w:tcW w:w="2382"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实验设备操作培训</w:t>
            </w:r>
          </w:p>
        </w:tc>
        <w:tc>
          <w:tcPr>
            <w:tcW w:w="1445"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面授，免费</w:t>
            </w:r>
          </w:p>
        </w:tc>
        <w:tc>
          <w:tcPr>
            <w:tcW w:w="1843" w:type="dxa"/>
            <w:vMerge w:val="restart"/>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不限</w:t>
            </w:r>
          </w:p>
        </w:tc>
        <w:tc>
          <w:tcPr>
            <w:tcW w:w="1871" w:type="dxa"/>
            <w:vMerge w:val="restart"/>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3天（可根据用户方要求调整）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709"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2</w:t>
            </w:r>
          </w:p>
        </w:tc>
        <w:tc>
          <w:tcPr>
            <w:tcW w:w="2382"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实验系统</w:t>
            </w:r>
          </w:p>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软件操作培训</w:t>
            </w:r>
          </w:p>
        </w:tc>
        <w:tc>
          <w:tcPr>
            <w:tcW w:w="1445"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面授，免费</w:t>
            </w:r>
          </w:p>
        </w:tc>
        <w:tc>
          <w:tcPr>
            <w:tcW w:w="1843" w:type="dxa"/>
            <w:vMerge w:val="continue"/>
            <w:vAlign w:val="center"/>
          </w:tcPr>
          <w:p>
            <w:pPr>
              <w:spacing w:line="360" w:lineRule="auto"/>
              <w:jc w:val="center"/>
              <w:rPr>
                <w:rFonts w:asciiTheme="minorEastAsia" w:hAnsiTheme="minorEastAsia" w:eastAsiaTheme="minorEastAsia" w:cstheme="minorEastAsia"/>
                <w:color w:val="auto"/>
                <w:sz w:val="24"/>
              </w:rPr>
            </w:pPr>
          </w:p>
        </w:tc>
        <w:tc>
          <w:tcPr>
            <w:tcW w:w="1871" w:type="dxa"/>
            <w:vMerge w:val="continue"/>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709"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3</w:t>
            </w:r>
          </w:p>
        </w:tc>
        <w:tc>
          <w:tcPr>
            <w:tcW w:w="2382" w:type="dxa"/>
            <w:vAlign w:val="center"/>
          </w:tcPr>
          <w:p>
            <w:pPr>
              <w:pStyle w:val="20"/>
              <w:snapToGrid w:val="0"/>
              <w:spacing w:line="360" w:lineRule="auto"/>
              <w:jc w:val="center"/>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rPr>
              <w:t>实验系统</w:t>
            </w:r>
          </w:p>
          <w:p>
            <w:pPr>
              <w:pStyle w:val="20"/>
              <w:snapToGrid w:val="0"/>
              <w:spacing w:line="360" w:lineRule="auto"/>
              <w:jc w:val="center"/>
              <w:rPr>
                <w:rFonts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rPr>
              <w:t>日常维护保养培训</w:t>
            </w:r>
          </w:p>
        </w:tc>
        <w:tc>
          <w:tcPr>
            <w:tcW w:w="1445"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面授，免费</w:t>
            </w:r>
          </w:p>
        </w:tc>
        <w:tc>
          <w:tcPr>
            <w:tcW w:w="1843" w:type="dxa"/>
            <w:vMerge w:val="continue"/>
            <w:vAlign w:val="center"/>
          </w:tcPr>
          <w:p>
            <w:pPr>
              <w:spacing w:line="360" w:lineRule="auto"/>
              <w:jc w:val="center"/>
              <w:rPr>
                <w:rFonts w:asciiTheme="minorEastAsia" w:hAnsiTheme="minorEastAsia" w:eastAsiaTheme="minorEastAsia" w:cstheme="minorEastAsia"/>
                <w:color w:val="auto"/>
                <w:sz w:val="24"/>
              </w:rPr>
            </w:pPr>
          </w:p>
        </w:tc>
        <w:tc>
          <w:tcPr>
            <w:tcW w:w="1871" w:type="dxa"/>
            <w:vMerge w:val="continue"/>
            <w:vAlign w:val="center"/>
          </w:tcPr>
          <w:p>
            <w:pPr>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709"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4</w:t>
            </w:r>
          </w:p>
        </w:tc>
        <w:tc>
          <w:tcPr>
            <w:tcW w:w="2382" w:type="dxa"/>
            <w:vAlign w:val="center"/>
          </w:tcPr>
          <w:p>
            <w:pPr>
              <w:pStyle w:val="20"/>
              <w:snapToGrid w:val="0"/>
              <w:spacing w:line="360" w:lineRule="auto"/>
              <w:jc w:val="center"/>
              <w:rPr>
                <w:rFonts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rPr>
              <w:t>实验内容培训</w:t>
            </w:r>
          </w:p>
        </w:tc>
        <w:tc>
          <w:tcPr>
            <w:tcW w:w="1445"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面授，免费</w:t>
            </w:r>
          </w:p>
        </w:tc>
        <w:tc>
          <w:tcPr>
            <w:tcW w:w="1843" w:type="dxa"/>
            <w:vMerge w:val="continue"/>
            <w:vAlign w:val="center"/>
          </w:tcPr>
          <w:p>
            <w:pPr>
              <w:spacing w:line="360" w:lineRule="auto"/>
              <w:jc w:val="center"/>
              <w:rPr>
                <w:rFonts w:asciiTheme="minorEastAsia" w:hAnsiTheme="minorEastAsia" w:eastAsiaTheme="minorEastAsia" w:cstheme="minorEastAsia"/>
                <w:color w:val="auto"/>
                <w:sz w:val="24"/>
              </w:rPr>
            </w:pPr>
          </w:p>
        </w:tc>
        <w:tc>
          <w:tcPr>
            <w:tcW w:w="1871" w:type="dxa"/>
            <w:vMerge w:val="continue"/>
            <w:vAlign w:val="center"/>
          </w:tcPr>
          <w:p>
            <w:pPr>
              <w:spacing w:line="360" w:lineRule="auto"/>
              <w:jc w:val="center"/>
              <w:rPr>
                <w:rFonts w:asciiTheme="minorEastAsia" w:hAnsiTheme="minorEastAsia" w:eastAsiaTheme="minorEastAsia" w:cstheme="minorEastAsia"/>
                <w:color w:val="auto"/>
                <w:sz w:val="24"/>
              </w:rPr>
            </w:pPr>
          </w:p>
        </w:tc>
      </w:tr>
    </w:tbl>
    <w:p>
      <w:pPr>
        <w:spacing w:line="360" w:lineRule="auto"/>
        <w:rPr>
          <w:rFonts w:asciiTheme="minorEastAsia" w:hAnsiTheme="minorEastAsia" w:eastAsiaTheme="minorEastAsia" w:cstheme="minorEastAsia"/>
          <w:b/>
          <w:bCs/>
          <w:color w:val="auto"/>
          <w:sz w:val="24"/>
        </w:rPr>
      </w:pPr>
      <w:bookmarkStart w:id="8" w:name="_Toc461036682"/>
      <w:bookmarkStart w:id="9" w:name="_Toc509764814"/>
      <w:r>
        <w:rPr>
          <w:rFonts w:hint="eastAsia" w:asciiTheme="minorEastAsia" w:hAnsiTheme="minorEastAsia" w:eastAsiaTheme="minorEastAsia" w:cstheme="minorEastAsia"/>
          <w:b/>
          <w:bCs/>
          <w:color w:val="auto"/>
          <w:sz w:val="24"/>
          <w:szCs w:val="24"/>
        </w:rPr>
        <w:t>5. 培训服务</w:t>
      </w:r>
      <w:bookmarkEnd w:id="8"/>
      <w:bookmarkEnd w:id="9"/>
      <w:r>
        <w:rPr>
          <w:rFonts w:hint="eastAsia" w:asciiTheme="minorEastAsia" w:hAnsiTheme="minorEastAsia" w:eastAsiaTheme="minorEastAsia" w:cstheme="minorEastAsia"/>
          <w:b/>
          <w:bCs/>
          <w:color w:val="auto"/>
          <w:sz w:val="24"/>
          <w:szCs w:val="24"/>
        </w:rPr>
        <w:t>支持</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我公司组建了一支专业的售后技术服务队伍，这支队伍包括网络工程师、安全工程师、系统工程师等，他们负责进行用户项目的现场实施，同时接受用户系统日常运行过程中的技术咨询和培训服务。</w:t>
      </w:r>
    </w:p>
    <w:p>
      <w:pPr>
        <w:pStyle w:val="21"/>
        <w:numPr>
          <w:ilvl w:val="0"/>
          <w:numId w:val="8"/>
        </w:numPr>
        <w:spacing w:line="360" w:lineRule="auto"/>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协助计划</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在项目实施之前，售后（售前）技术服务人员向用户提供项目实施的前提条件，包含网络环境要求、软硬件要求等。</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对于用户购买的硬件和软件，在设备到达安装现场之后，售后技术人员将协助用户进行设备的安装、调试及验收。</w:t>
      </w:r>
    </w:p>
    <w:p>
      <w:pPr>
        <w:pStyle w:val="21"/>
        <w:numPr>
          <w:ilvl w:val="0"/>
          <w:numId w:val="8"/>
        </w:numPr>
        <w:spacing w:line="360" w:lineRule="auto"/>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热线支持</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提供全天热线技术支持，包括电子邮件、电话、传真等方式（7×24 小时）。全天热线技术支持体系，可使我们的用户最短时间内，快捷方便的得到公司的技术咨询及培训服务。</w:t>
      </w:r>
    </w:p>
    <w:p>
      <w:pPr>
        <w:pStyle w:val="2"/>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jc w:val="left"/>
        <w:rPr>
          <w:rFonts w:ascii="宋体"/>
          <w:b/>
          <w:bCs/>
          <w:sz w:val="28"/>
          <w:szCs w:val="28"/>
        </w:rPr>
      </w:pPr>
      <w:r>
        <w:rPr>
          <w:rFonts w:ascii="宋体" w:hAnsi="宋体" w:cs="宋体"/>
          <w:b/>
          <w:bCs/>
          <w:sz w:val="28"/>
          <w:szCs w:val="28"/>
        </w:rPr>
        <w:t xml:space="preserve">                          </w:t>
      </w:r>
      <w:r>
        <w:rPr>
          <w:rFonts w:hint="eastAsia" w:ascii="宋体" w:hAnsi="宋体" w:cs="宋体"/>
          <w:b/>
          <w:bCs/>
          <w:sz w:val="28"/>
          <w:szCs w:val="28"/>
          <w:lang w:val="en-US" w:eastAsia="zh-CN"/>
        </w:rPr>
        <w:t>河南锋恩电气有限公司</w:t>
      </w:r>
      <w:r>
        <w:rPr>
          <w:rFonts w:ascii="宋体"/>
          <w:b/>
          <w:bCs/>
          <w:sz w:val="28"/>
          <w:szCs w:val="28"/>
        </w:rPr>
        <w:br w:type="page"/>
      </w:r>
      <w:r>
        <w:rPr>
          <w:rFonts w:hint="eastAsia" w:ascii="宋体" w:hAnsi="宋体" w:cs="宋体"/>
          <w:sz w:val="28"/>
          <w:szCs w:val="28"/>
        </w:rPr>
        <w:t>附</w:t>
      </w:r>
      <w:r>
        <w:rPr>
          <w:rFonts w:ascii="宋体" w:hAnsi="宋体" w:cs="宋体"/>
          <w:sz w:val="28"/>
          <w:szCs w:val="28"/>
        </w:rPr>
        <w:t>4</w:t>
      </w:r>
      <w:r>
        <w:rPr>
          <w:rFonts w:hint="eastAsia" w:ascii="宋体" w:hAnsi="宋体" w:cs="宋体"/>
          <w:sz w:val="28"/>
          <w:szCs w:val="28"/>
        </w:rPr>
        <w:t>：</w:t>
      </w:r>
      <w:r>
        <w:rPr>
          <w:rFonts w:ascii="宋体" w:hAnsi="宋体" w:cs="宋体"/>
          <w:b/>
          <w:bCs/>
          <w:sz w:val="28"/>
          <w:szCs w:val="28"/>
        </w:rPr>
        <w:t xml:space="preserve">       </w:t>
      </w:r>
    </w:p>
    <w:p>
      <w:pPr>
        <w:snapToGrid w:val="0"/>
        <w:spacing w:line="360" w:lineRule="auto"/>
        <w:rPr>
          <w:rFonts w:ascii="宋体"/>
          <w:b/>
          <w:bCs/>
          <w:sz w:val="36"/>
          <w:szCs w:val="36"/>
        </w:rPr>
      </w:pPr>
      <w:r>
        <w:rPr>
          <w:rFonts w:ascii="宋体" w:hAnsi="宋体" w:cs="宋体"/>
          <w:b/>
          <w:bCs/>
          <w:sz w:val="28"/>
          <w:szCs w:val="28"/>
        </w:rPr>
        <w:t xml:space="preserve">             </w:t>
      </w:r>
      <w:r>
        <w:rPr>
          <w:rFonts w:hint="eastAsia" w:ascii="宋体" w:hAnsi="宋体" w:cs="宋体"/>
          <w:b/>
          <w:bCs/>
          <w:sz w:val="36"/>
          <w:szCs w:val="36"/>
        </w:rPr>
        <w:t>郑州大学仪器设备初步验收单</w:t>
      </w:r>
    </w:p>
    <w:p>
      <w:pPr>
        <w:ind w:firstLine="353" w:firstLineChars="147"/>
        <w:rPr>
          <w:rFonts w:ascii="宋体"/>
          <w:b/>
          <w:bCs/>
          <w:sz w:val="24"/>
        </w:rPr>
      </w:pPr>
      <w:r>
        <w:rPr>
          <w:rFonts w:ascii="宋体" w:hAnsi="宋体" w:cs="宋体"/>
          <w:b/>
          <w:bCs/>
          <w:sz w:val="24"/>
        </w:rPr>
        <w:t xml:space="preserve">No.                                         </w:t>
      </w:r>
      <w:r>
        <w:rPr>
          <w:rFonts w:hint="eastAsia" w:ascii="宋体" w:hAnsi="宋体" w:cs="宋体"/>
          <w:b/>
          <w:bCs/>
          <w:sz w:val="24"/>
        </w:rPr>
        <w:t>年</w:t>
      </w:r>
      <w:r>
        <w:rPr>
          <w:rFonts w:ascii="宋体" w:hAnsi="宋体" w:cs="宋体"/>
          <w:b/>
          <w:bCs/>
          <w:sz w:val="24"/>
        </w:rPr>
        <w:t xml:space="preserve">   </w:t>
      </w:r>
      <w:r>
        <w:rPr>
          <w:rFonts w:hint="eastAsia" w:ascii="宋体" w:hAnsi="宋体" w:cs="宋体"/>
          <w:b/>
          <w:bCs/>
          <w:sz w:val="24"/>
        </w:rPr>
        <w:t>月</w:t>
      </w:r>
      <w:r>
        <w:rPr>
          <w:rFonts w:ascii="宋体" w:hAnsi="宋体" w:cs="宋体"/>
          <w:b/>
          <w:bCs/>
          <w:sz w:val="24"/>
        </w:rPr>
        <w:t xml:space="preserve">   </w:t>
      </w:r>
      <w:r>
        <w:rPr>
          <w:rFonts w:hint="eastAsia" w:ascii="宋体" w:hAnsi="宋体" w:cs="宋体"/>
          <w:b/>
          <w:bCs/>
          <w:sz w:val="24"/>
        </w:rPr>
        <w:t>日</w:t>
      </w:r>
    </w:p>
    <w:tbl>
      <w:tblPr>
        <w:tblStyle w:val="15"/>
        <w:tblW w:w="8853"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85"/>
        <w:gridCol w:w="91"/>
        <w:gridCol w:w="756"/>
        <w:gridCol w:w="734"/>
        <w:gridCol w:w="1249"/>
        <w:gridCol w:w="227"/>
        <w:gridCol w:w="1252"/>
        <w:gridCol w:w="576"/>
        <w:gridCol w:w="371"/>
        <w:gridCol w:w="325"/>
        <w:gridCol w:w="382"/>
        <w:gridCol w:w="498"/>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1206" w:type="dxa"/>
            <w:gridSpan w:val="2"/>
            <w:tcBorders>
              <w:top w:val="single" w:color="auto" w:sz="12" w:space="0"/>
              <w:left w:val="single" w:color="auto" w:sz="12" w:space="0"/>
              <w:bottom w:val="single" w:color="auto" w:sz="2" w:space="0"/>
              <w:right w:val="single" w:color="auto" w:sz="2" w:space="0"/>
            </w:tcBorders>
            <w:vAlign w:val="center"/>
          </w:tcPr>
          <w:p>
            <w:pPr>
              <w:jc w:val="center"/>
              <w:rPr>
                <w:rFonts w:hint="eastAsia" w:cs="宋体"/>
              </w:rPr>
            </w:pPr>
            <w:r>
              <w:rPr>
                <w:rFonts w:hint="eastAsia" w:cs="宋体"/>
              </w:rPr>
              <w:t>使用单位</w:t>
            </w:r>
          </w:p>
        </w:tc>
        <w:tc>
          <w:tcPr>
            <w:tcW w:w="1581" w:type="dxa"/>
            <w:gridSpan w:val="3"/>
            <w:tcBorders>
              <w:top w:val="single" w:color="auto" w:sz="12" w:space="0"/>
              <w:left w:val="single" w:color="auto" w:sz="2" w:space="0"/>
              <w:bottom w:val="single" w:color="auto" w:sz="2" w:space="0"/>
              <w:right w:val="single" w:color="auto" w:sz="2" w:space="0"/>
            </w:tcBorders>
            <w:vAlign w:val="center"/>
          </w:tcPr>
          <w:p>
            <w:pPr>
              <w:jc w:val="center"/>
              <w:rPr>
                <w:rFonts w:hint="eastAsia" w:cs="宋体"/>
                <w:lang w:val="en-US" w:eastAsia="zh-Hans"/>
              </w:rPr>
            </w:pPr>
            <w:r>
              <w:rPr>
                <w:rFonts w:hint="eastAsia" w:cs="宋体"/>
                <w:lang w:val="en-US" w:eastAsia="zh-Hans"/>
              </w:rPr>
              <w:t>软件与应用科技学院</w:t>
            </w:r>
          </w:p>
        </w:tc>
        <w:tc>
          <w:tcPr>
            <w:tcW w:w="1249" w:type="dxa"/>
            <w:tcBorders>
              <w:top w:val="single" w:color="auto" w:sz="12" w:space="0"/>
              <w:left w:val="single" w:color="auto" w:sz="2" w:space="0"/>
              <w:bottom w:val="single" w:color="auto" w:sz="2" w:space="0"/>
              <w:right w:val="single" w:color="auto" w:sz="2" w:space="0"/>
            </w:tcBorders>
            <w:vAlign w:val="center"/>
          </w:tcPr>
          <w:p>
            <w:pPr>
              <w:jc w:val="center"/>
              <w:rPr>
                <w:rFonts w:hint="eastAsia" w:cs="宋体"/>
              </w:rPr>
            </w:pPr>
            <w:r>
              <w:rPr>
                <w:rFonts w:hint="eastAsia" w:cs="宋体"/>
              </w:rPr>
              <w:t>使用人</w:t>
            </w:r>
          </w:p>
        </w:tc>
        <w:tc>
          <w:tcPr>
            <w:tcW w:w="1479" w:type="dxa"/>
            <w:gridSpan w:val="2"/>
            <w:tcBorders>
              <w:top w:val="single" w:color="auto" w:sz="12" w:space="0"/>
              <w:left w:val="single" w:color="auto" w:sz="2" w:space="0"/>
              <w:bottom w:val="single" w:color="auto" w:sz="2" w:space="0"/>
              <w:right w:val="single" w:color="auto" w:sz="2" w:space="0"/>
            </w:tcBorders>
            <w:vAlign w:val="center"/>
          </w:tcPr>
          <w:p>
            <w:pPr>
              <w:jc w:val="center"/>
              <w:rPr>
                <w:rFonts w:hint="eastAsia" w:cs="宋体"/>
              </w:rPr>
            </w:pPr>
            <w:r>
              <w:rPr>
                <w:rFonts w:hint="eastAsia" w:cs="宋体"/>
              </w:rPr>
              <w:t>佘维</w:t>
            </w:r>
          </w:p>
        </w:tc>
        <w:tc>
          <w:tcPr>
            <w:tcW w:w="1654" w:type="dxa"/>
            <w:gridSpan w:val="4"/>
            <w:tcBorders>
              <w:top w:val="single" w:color="auto" w:sz="12" w:space="0"/>
              <w:left w:val="single" w:color="auto" w:sz="2" w:space="0"/>
              <w:bottom w:val="single" w:color="auto" w:sz="2" w:space="0"/>
              <w:right w:val="single" w:color="auto" w:sz="2" w:space="0"/>
            </w:tcBorders>
            <w:vAlign w:val="center"/>
          </w:tcPr>
          <w:p>
            <w:pPr>
              <w:jc w:val="center"/>
              <w:rPr>
                <w:rFonts w:hint="eastAsia" w:cs="宋体"/>
              </w:rPr>
            </w:pPr>
            <w:r>
              <w:rPr>
                <w:rFonts w:hint="eastAsia" w:cs="宋体"/>
              </w:rPr>
              <w:t>合同编号</w:t>
            </w:r>
          </w:p>
        </w:tc>
        <w:tc>
          <w:tcPr>
            <w:tcW w:w="1684" w:type="dxa"/>
            <w:gridSpan w:val="2"/>
            <w:tcBorders>
              <w:top w:val="single" w:color="auto" w:sz="12" w:space="0"/>
              <w:left w:val="single" w:color="auto" w:sz="2" w:space="0"/>
              <w:bottom w:val="single" w:color="auto" w:sz="2" w:space="0"/>
              <w:right w:val="single" w:color="auto" w:sz="12" w:space="0"/>
            </w:tcBorders>
            <w:vAlign w:val="center"/>
          </w:tcPr>
          <w:p>
            <w:pPr>
              <w:jc w:val="center"/>
              <w:rPr>
                <w:rFonts w:hint="eastAsia" w:cs="宋体"/>
              </w:rPr>
            </w:pPr>
            <w:r>
              <w:rPr>
                <w:rFonts w:hint="eastAsia" w:cs="宋体"/>
                <w:lang w:val="en-US" w:eastAsia="zh-Hans"/>
              </w:rPr>
              <w:t>豫财招标采购</w:t>
            </w:r>
            <w:r>
              <w:rPr>
                <w:rFonts w:hint="default" w:cs="宋体"/>
                <w:lang w:eastAsia="zh-Hans"/>
              </w:rPr>
              <w:t>-2020-1435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1206" w:type="dxa"/>
            <w:gridSpan w:val="2"/>
            <w:tcBorders>
              <w:left w:val="single" w:color="auto" w:sz="12" w:space="0"/>
              <w:right w:val="single" w:color="auto" w:sz="2" w:space="0"/>
            </w:tcBorders>
            <w:vAlign w:val="center"/>
          </w:tcPr>
          <w:p>
            <w:pPr>
              <w:jc w:val="center"/>
              <w:rPr>
                <w:rFonts w:hint="eastAsia" w:cs="宋体"/>
              </w:rPr>
            </w:pPr>
            <w:r>
              <w:rPr>
                <w:rFonts w:hint="eastAsia" w:cs="宋体"/>
              </w:rPr>
              <w:t>供货商</w:t>
            </w:r>
          </w:p>
        </w:tc>
        <w:tc>
          <w:tcPr>
            <w:tcW w:w="4309" w:type="dxa"/>
            <w:gridSpan w:val="6"/>
            <w:tcBorders>
              <w:left w:val="single" w:color="auto" w:sz="2" w:space="0"/>
              <w:right w:val="single" w:color="auto" w:sz="2" w:space="0"/>
            </w:tcBorders>
            <w:vAlign w:val="center"/>
          </w:tcPr>
          <w:p>
            <w:pPr>
              <w:jc w:val="center"/>
              <w:rPr>
                <w:rFonts w:hint="eastAsia" w:cs="宋体"/>
                <w:lang w:val="en-US" w:eastAsia="zh-Hans"/>
              </w:rPr>
            </w:pPr>
            <w:r>
              <w:rPr>
                <w:rFonts w:hint="eastAsia" w:cs="宋体"/>
                <w:lang w:val="en-US" w:eastAsia="zh-Hans"/>
              </w:rPr>
              <w:t>河南锋恩电气有限公司</w:t>
            </w:r>
          </w:p>
        </w:tc>
        <w:tc>
          <w:tcPr>
            <w:tcW w:w="1654" w:type="dxa"/>
            <w:gridSpan w:val="4"/>
            <w:tcBorders>
              <w:left w:val="single" w:color="auto" w:sz="2" w:space="0"/>
              <w:right w:val="single" w:color="auto" w:sz="2" w:space="0"/>
            </w:tcBorders>
            <w:vAlign w:val="center"/>
          </w:tcPr>
          <w:p>
            <w:pPr>
              <w:jc w:val="center"/>
              <w:rPr>
                <w:rFonts w:hint="eastAsia" w:cs="宋体"/>
              </w:rPr>
            </w:pPr>
            <w:r>
              <w:rPr>
                <w:rFonts w:hint="eastAsia" w:cs="宋体"/>
              </w:rPr>
              <w:t xml:space="preserve">合同总金额   </w:t>
            </w:r>
          </w:p>
        </w:tc>
        <w:tc>
          <w:tcPr>
            <w:tcW w:w="1684" w:type="dxa"/>
            <w:gridSpan w:val="2"/>
            <w:tcBorders>
              <w:left w:val="single" w:color="auto" w:sz="2" w:space="0"/>
              <w:right w:val="single" w:color="auto" w:sz="12" w:space="0"/>
            </w:tcBorders>
            <w:vAlign w:val="center"/>
          </w:tcPr>
          <w:p>
            <w:pPr>
              <w:jc w:val="center"/>
              <w:rPr>
                <w:rFonts w:hint="eastAsia" w:cs="宋体"/>
              </w:rPr>
            </w:pPr>
            <w:r>
              <w:rPr>
                <w:rFonts w:hint="eastAsia" w:cs="宋体"/>
                <w:lang w:val="en-US" w:eastAsia="zh-CN"/>
              </w:rPr>
              <w:t>1886900元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trPr>
        <w:tc>
          <w:tcPr>
            <w:tcW w:w="8853" w:type="dxa"/>
            <w:gridSpan w:val="14"/>
            <w:tcBorders>
              <w:left w:val="single" w:color="auto" w:sz="12" w:space="0"/>
              <w:right w:val="single" w:color="auto" w:sz="12" w:space="0"/>
            </w:tcBorders>
            <w:vAlign w:val="center"/>
          </w:tcPr>
          <w:p>
            <w:pPr>
              <w:jc w:val="center"/>
            </w:pPr>
            <w:r>
              <w:rPr>
                <w:rFonts w:hint="eastAsia" w:cs="宋体"/>
              </w:rPr>
              <w:t>设备明细（品名、型号、规格、生产厂家、数量、金额等，不够可另附表）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521" w:type="dxa"/>
            <w:tcBorders>
              <w:left w:val="single" w:color="auto" w:sz="12" w:space="0"/>
              <w:bottom w:val="single" w:color="auto" w:sz="2" w:space="0"/>
              <w:right w:val="single" w:color="auto" w:sz="2" w:space="0"/>
            </w:tcBorders>
            <w:vAlign w:val="center"/>
          </w:tcPr>
          <w:p>
            <w:pPr>
              <w:jc w:val="center"/>
              <w:rPr>
                <w:b/>
                <w:bCs/>
              </w:rPr>
            </w:pPr>
            <w:r>
              <w:rPr>
                <w:rFonts w:hint="eastAsia" w:cs="宋体"/>
                <w:b/>
                <w:bCs/>
              </w:rPr>
              <w:t>序号</w:t>
            </w:r>
          </w:p>
        </w:tc>
        <w:tc>
          <w:tcPr>
            <w:tcW w:w="1532" w:type="dxa"/>
            <w:gridSpan w:val="3"/>
            <w:tcBorders>
              <w:left w:val="single" w:color="auto" w:sz="2" w:space="0"/>
              <w:bottom w:val="single" w:color="auto" w:sz="2" w:space="0"/>
              <w:right w:val="single" w:color="auto" w:sz="2" w:space="0"/>
            </w:tcBorders>
            <w:vAlign w:val="center"/>
          </w:tcPr>
          <w:p>
            <w:pPr>
              <w:jc w:val="center"/>
              <w:rPr>
                <w:b/>
                <w:bCs/>
              </w:rPr>
            </w:pPr>
            <w:r>
              <w:rPr>
                <w:rFonts w:hint="eastAsia" w:cs="宋体"/>
                <w:b/>
                <w:bCs/>
              </w:rPr>
              <w:t>品名</w:t>
            </w:r>
          </w:p>
        </w:tc>
        <w:tc>
          <w:tcPr>
            <w:tcW w:w="2210" w:type="dxa"/>
            <w:gridSpan w:val="3"/>
            <w:tcBorders>
              <w:left w:val="single" w:color="auto" w:sz="2" w:space="0"/>
              <w:bottom w:val="single" w:color="auto" w:sz="2" w:space="0"/>
              <w:right w:val="single" w:color="auto" w:sz="2" w:space="0"/>
            </w:tcBorders>
            <w:vAlign w:val="center"/>
          </w:tcPr>
          <w:p>
            <w:pPr>
              <w:jc w:val="center"/>
              <w:rPr>
                <w:b/>
                <w:bCs/>
              </w:rPr>
            </w:pPr>
            <w:r>
              <w:rPr>
                <w:rFonts w:hint="eastAsia" w:cs="宋体"/>
                <w:b/>
                <w:bCs/>
              </w:rPr>
              <w:t>技术参数</w:t>
            </w:r>
          </w:p>
          <w:p>
            <w:pPr>
              <w:jc w:val="center"/>
              <w:rPr>
                <w:b/>
                <w:bCs/>
              </w:rPr>
            </w:pPr>
            <w:r>
              <w:rPr>
                <w:rFonts w:hint="eastAsia" w:cs="宋体"/>
                <w:b/>
                <w:bCs/>
              </w:rPr>
              <w:t>（规格型号）</w:t>
            </w:r>
          </w:p>
        </w:tc>
        <w:tc>
          <w:tcPr>
            <w:tcW w:w="1828" w:type="dxa"/>
            <w:gridSpan w:val="2"/>
            <w:tcBorders>
              <w:left w:val="single" w:color="auto" w:sz="2" w:space="0"/>
              <w:bottom w:val="single" w:color="auto" w:sz="2" w:space="0"/>
              <w:right w:val="single" w:color="auto" w:sz="2" w:space="0"/>
            </w:tcBorders>
            <w:vAlign w:val="center"/>
          </w:tcPr>
          <w:p>
            <w:pPr>
              <w:jc w:val="center"/>
              <w:rPr>
                <w:b/>
                <w:bCs/>
              </w:rPr>
            </w:pPr>
            <w:r>
              <w:rPr>
                <w:rFonts w:hint="eastAsia" w:cs="宋体"/>
                <w:b/>
                <w:bCs/>
              </w:rPr>
              <w:t>生产厂家（产地）</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jc w:val="center"/>
              <w:rPr>
                <w:b/>
                <w:bCs/>
              </w:rPr>
            </w:pPr>
            <w:r>
              <w:rPr>
                <w:rFonts w:hint="eastAsia" w:cs="宋体"/>
                <w:b/>
                <w:bCs/>
              </w:rPr>
              <w:t>数量</w:t>
            </w:r>
          </w:p>
        </w:tc>
        <w:tc>
          <w:tcPr>
            <w:tcW w:w="880" w:type="dxa"/>
            <w:gridSpan w:val="2"/>
            <w:tcBorders>
              <w:top w:val="single" w:color="auto" w:sz="2" w:space="0"/>
              <w:left w:val="single" w:color="auto" w:sz="2" w:space="0"/>
              <w:bottom w:val="single" w:color="auto" w:sz="2" w:space="0"/>
            </w:tcBorders>
            <w:vAlign w:val="center"/>
          </w:tcPr>
          <w:p>
            <w:pPr>
              <w:jc w:val="center"/>
              <w:rPr>
                <w:b/>
                <w:bCs/>
              </w:rPr>
            </w:pPr>
            <w:r>
              <w:rPr>
                <w:rFonts w:hint="eastAsia" w:cs="宋体"/>
                <w:b/>
                <w:bCs/>
              </w:rPr>
              <w:t>单位</w:t>
            </w:r>
          </w:p>
        </w:tc>
        <w:tc>
          <w:tcPr>
            <w:tcW w:w="1186" w:type="dxa"/>
            <w:tcBorders>
              <w:bottom w:val="single" w:color="auto" w:sz="2" w:space="0"/>
              <w:right w:val="single" w:color="auto" w:sz="12" w:space="0"/>
            </w:tcBorders>
            <w:vAlign w:val="center"/>
          </w:tcPr>
          <w:p>
            <w:pPr>
              <w:jc w:val="center"/>
              <w:rPr>
                <w:b/>
                <w:bCs/>
              </w:rPr>
            </w:pPr>
            <w:r>
              <w:rPr>
                <w:rFonts w:hint="eastAsia" w:cs="宋体"/>
                <w:b/>
                <w:bCs/>
              </w:rPr>
              <w:t>金额</w:t>
            </w:r>
            <w:r>
              <w:rPr>
                <w:rFonts w:hint="eastAsia" w:cs="宋体"/>
                <w:b/>
                <w:bCs/>
                <w:lang w:eastAsia="zh-Hans"/>
              </w:rPr>
              <w:t>（</w:t>
            </w:r>
            <w:r>
              <w:rPr>
                <w:rFonts w:hint="eastAsia" w:cs="宋体"/>
                <w:b/>
                <w:bCs/>
                <w:lang w:val="en-US" w:eastAsia="zh-Hans"/>
              </w:rPr>
              <w:t>元</w:t>
            </w:r>
            <w:r>
              <w:rPr>
                <w:rFonts w:hint="eastAsia"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1</w:t>
            </w:r>
          </w:p>
        </w:tc>
        <w:tc>
          <w:tcPr>
            <w:tcW w:w="1532" w:type="dxa"/>
            <w:gridSpan w:val="3"/>
            <w:tcBorders>
              <w:top w:val="single" w:color="auto" w:sz="2" w:space="0"/>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火力发电智能仿真实验平台</w:t>
            </w:r>
          </w:p>
        </w:tc>
        <w:tc>
          <w:tcPr>
            <w:tcW w:w="2210" w:type="dxa"/>
            <w:gridSpan w:val="3"/>
            <w:tcBorders>
              <w:top w:val="single" w:color="auto" w:sz="2" w:space="0"/>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绿盟仿真平台V1.0-火力发电</w:t>
            </w:r>
          </w:p>
        </w:tc>
        <w:tc>
          <w:tcPr>
            <w:tcW w:w="1828" w:type="dxa"/>
            <w:gridSpan w:val="2"/>
            <w:tcBorders>
              <w:top w:val="single" w:color="auto" w:sz="2" w:space="0"/>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北京神州绿盟科技</w:t>
            </w:r>
            <w:r>
              <w:rPr>
                <w:rFonts w:hint="default" w:ascii="宋体" w:hAnsi="宋体" w:eastAsia="宋体" w:cs="宋体"/>
                <w:sz w:val="21"/>
                <w:szCs w:val="21"/>
              </w:rPr>
              <w:t>有限公司</w:t>
            </w:r>
          </w:p>
        </w:tc>
        <w:tc>
          <w:tcPr>
            <w:tcW w:w="696" w:type="dxa"/>
            <w:gridSpan w:val="2"/>
            <w:tcBorders>
              <w:top w:val="single" w:color="auto" w:sz="2" w:space="0"/>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top w:val="single" w:color="auto" w:sz="2" w:space="0"/>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top w:val="single" w:color="auto" w:sz="2" w:space="0"/>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198500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2</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风力发电智能仿真实验平台</w:t>
            </w:r>
          </w:p>
        </w:tc>
        <w:tc>
          <w:tcPr>
            <w:tcW w:w="2210"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绿盟仿真平台V1.0-风力发电</w:t>
            </w:r>
          </w:p>
        </w:tc>
        <w:tc>
          <w:tcPr>
            <w:tcW w:w="1828" w:type="dxa"/>
            <w:gridSpan w:val="2"/>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北京神州绿盟科技</w:t>
            </w:r>
            <w:r>
              <w:rPr>
                <w:rFonts w:hint="default" w:ascii="宋体" w:hAnsi="宋体" w:eastAsia="宋体" w:cs="宋体"/>
                <w:sz w:val="21"/>
                <w:szCs w:val="21"/>
              </w:rPr>
              <w:t>有限公司</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right w:val="single" w:color="auto" w:sz="2" w:space="0"/>
            </w:tcBorders>
            <w:vAlign w:val="center"/>
          </w:tcPr>
          <w:p>
            <w:pPr>
              <w:spacing w:line="360" w:lineRule="auto"/>
              <w:jc w:val="center"/>
              <w:textAlignment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197000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3</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智能电网仿真实验平台</w:t>
            </w:r>
          </w:p>
        </w:tc>
        <w:tc>
          <w:tcPr>
            <w:tcW w:w="2210"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绿盟仿真平台V1.0-电网</w:t>
            </w:r>
          </w:p>
        </w:tc>
        <w:tc>
          <w:tcPr>
            <w:tcW w:w="1828" w:type="dxa"/>
            <w:gridSpan w:val="2"/>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北京神州绿盟科技</w:t>
            </w:r>
            <w:r>
              <w:rPr>
                <w:rFonts w:hint="default" w:ascii="宋体" w:hAnsi="宋体" w:eastAsia="宋体" w:cs="宋体"/>
                <w:sz w:val="21"/>
                <w:szCs w:val="21"/>
              </w:rPr>
              <w:t>有限公司</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198000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4</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工业仿真控制机</w:t>
            </w:r>
          </w:p>
        </w:tc>
        <w:tc>
          <w:tcPr>
            <w:tcW w:w="2210" w:type="dxa"/>
            <w:gridSpan w:val="3"/>
            <w:tcBorders>
              <w:left w:val="single" w:color="auto" w:sz="2" w:space="0"/>
              <w:right w:val="single" w:color="auto" w:sz="2" w:space="0"/>
            </w:tcBorders>
            <w:vAlign w:val="center"/>
          </w:tcPr>
          <w:p>
            <w:pPr>
              <w:bidi w:val="0"/>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绿盟仿真平台V1.0-SND\XMZ</w:t>
            </w:r>
          </w:p>
        </w:tc>
        <w:tc>
          <w:tcPr>
            <w:tcW w:w="1828" w:type="dxa"/>
            <w:gridSpan w:val="2"/>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北京神州绿盟科技</w:t>
            </w:r>
            <w:r>
              <w:rPr>
                <w:rFonts w:hint="default" w:ascii="宋体" w:hAnsi="宋体" w:eastAsia="宋体" w:cs="宋体"/>
                <w:sz w:val="21"/>
                <w:szCs w:val="21"/>
              </w:rPr>
              <w:t>有限公司</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2</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5</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终端工控机</w:t>
            </w:r>
          </w:p>
        </w:tc>
        <w:tc>
          <w:tcPr>
            <w:tcW w:w="2210"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绿盟终端信号模拟器QH-VISG2-ED/EN</w:t>
            </w:r>
          </w:p>
        </w:tc>
        <w:tc>
          <w:tcPr>
            <w:tcW w:w="1828" w:type="dxa"/>
            <w:gridSpan w:val="2"/>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北京神州绿盟科技</w:t>
            </w:r>
            <w:r>
              <w:rPr>
                <w:rFonts w:hint="default" w:ascii="宋体" w:hAnsi="宋体" w:eastAsia="宋体" w:cs="宋体"/>
                <w:sz w:val="21"/>
                <w:szCs w:val="21"/>
              </w:rPr>
              <w:t>有限公司</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6</w:t>
            </w:r>
          </w:p>
        </w:tc>
        <w:tc>
          <w:tcPr>
            <w:tcW w:w="1532" w:type="dxa"/>
            <w:gridSpan w:val="3"/>
            <w:tcBorders>
              <w:left w:val="single" w:color="auto" w:sz="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智能电网分布式节点规划平台</w:t>
            </w:r>
          </w:p>
        </w:tc>
        <w:tc>
          <w:tcPr>
            <w:tcW w:w="2210" w:type="dxa"/>
            <w:gridSpan w:val="3"/>
            <w:tcBorders>
              <w:left w:val="single" w:color="auto" w:sz="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易智瑞ArcGIS Pro 2.6</w:t>
            </w:r>
          </w:p>
        </w:tc>
        <w:tc>
          <w:tcPr>
            <w:tcW w:w="1828" w:type="dxa"/>
            <w:gridSpan w:val="2"/>
            <w:tcBorders>
              <w:left w:val="single" w:color="auto" w:sz="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易智瑞</w:t>
            </w:r>
            <w:r>
              <w:rPr>
                <w:rFonts w:hint="default" w:ascii="宋体" w:hAnsi="宋体" w:eastAsia="宋体" w:cs="宋体"/>
                <w:sz w:val="21"/>
                <w:szCs w:val="21"/>
                <w:lang w:val="en-US" w:eastAsia="zh-CN"/>
              </w:rPr>
              <w:t>信息技术有限公司</w:t>
            </w:r>
          </w:p>
        </w:tc>
        <w:tc>
          <w:tcPr>
            <w:tcW w:w="696" w:type="dxa"/>
            <w:gridSpan w:val="2"/>
            <w:tcBorders>
              <w:left w:val="single" w:color="auto" w:sz="2" w:space="0"/>
              <w:bottom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left w:val="single" w:color="auto" w:sz="2" w:space="0"/>
              <w:bottom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bottom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7</w:t>
            </w:r>
          </w:p>
        </w:tc>
        <w:tc>
          <w:tcPr>
            <w:tcW w:w="1532" w:type="dxa"/>
            <w:gridSpan w:val="3"/>
            <w:tcBorders>
              <w:top w:val="single" w:color="auto" w:sz="2" w:space="0"/>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分布式节点规划云平台</w:t>
            </w:r>
          </w:p>
        </w:tc>
        <w:tc>
          <w:tcPr>
            <w:tcW w:w="2210" w:type="dxa"/>
            <w:gridSpan w:val="3"/>
            <w:tcBorders>
              <w:top w:val="single" w:color="auto" w:sz="2" w:space="0"/>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易智瑞ArcGIS SERVER 10.8</w:t>
            </w:r>
          </w:p>
        </w:tc>
        <w:tc>
          <w:tcPr>
            <w:tcW w:w="1828" w:type="dxa"/>
            <w:gridSpan w:val="2"/>
            <w:tcBorders>
              <w:top w:val="single" w:color="auto" w:sz="2" w:space="0"/>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易智瑞</w:t>
            </w:r>
            <w:r>
              <w:rPr>
                <w:rFonts w:hint="default" w:ascii="宋体" w:hAnsi="宋体" w:eastAsia="宋体" w:cs="宋体"/>
                <w:sz w:val="21"/>
                <w:szCs w:val="21"/>
                <w:lang w:val="en-US" w:eastAsia="zh-CN"/>
              </w:rPr>
              <w:t>信息技术有限公司</w:t>
            </w:r>
          </w:p>
        </w:tc>
        <w:tc>
          <w:tcPr>
            <w:tcW w:w="696" w:type="dxa"/>
            <w:gridSpan w:val="2"/>
            <w:tcBorders>
              <w:top w:val="single" w:color="auto" w:sz="2" w:space="0"/>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top w:val="single" w:color="auto" w:sz="2" w:space="0"/>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top w:val="single" w:color="auto" w:sz="2" w:space="0"/>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8</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分布式节点规划开发平台</w:t>
            </w:r>
          </w:p>
        </w:tc>
        <w:tc>
          <w:tcPr>
            <w:tcW w:w="2210"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易智瑞Portal for 10.8</w:t>
            </w:r>
          </w:p>
        </w:tc>
        <w:tc>
          <w:tcPr>
            <w:tcW w:w="1828" w:type="dxa"/>
            <w:gridSpan w:val="2"/>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易智瑞</w:t>
            </w:r>
            <w:r>
              <w:rPr>
                <w:rFonts w:hint="default" w:ascii="宋体" w:hAnsi="宋体" w:eastAsia="宋体" w:cs="宋体"/>
                <w:sz w:val="21"/>
                <w:szCs w:val="21"/>
                <w:lang w:val="en-US" w:eastAsia="zh-CN"/>
              </w:rPr>
              <w:t>信息技术有限公司</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9</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工业安全安全网关平台</w:t>
            </w:r>
          </w:p>
        </w:tc>
        <w:tc>
          <w:tcPr>
            <w:tcW w:w="2210"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绿盟工业安全网关V2.0(ISGNX3-2000A)</w:t>
            </w:r>
          </w:p>
        </w:tc>
        <w:tc>
          <w:tcPr>
            <w:tcW w:w="1828" w:type="dxa"/>
            <w:gridSpan w:val="2"/>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北京神州绿盟科技</w:t>
            </w:r>
            <w:r>
              <w:rPr>
                <w:rFonts w:hint="default" w:ascii="宋体" w:hAnsi="宋体" w:eastAsia="宋体" w:cs="宋体"/>
                <w:sz w:val="21"/>
                <w:szCs w:val="21"/>
              </w:rPr>
              <w:t>有限公司</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139500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10</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工业控制安全审计系统平台</w:t>
            </w:r>
          </w:p>
        </w:tc>
        <w:tc>
          <w:tcPr>
            <w:tcW w:w="2210"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绿盟工控安全审计系统V5.6(SAS-ICSNX3-310A)</w:t>
            </w:r>
          </w:p>
        </w:tc>
        <w:tc>
          <w:tcPr>
            <w:tcW w:w="1828" w:type="dxa"/>
            <w:gridSpan w:val="2"/>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北京神州绿盟科技</w:t>
            </w:r>
            <w:r>
              <w:rPr>
                <w:rFonts w:hint="default" w:ascii="宋体" w:hAnsi="宋体" w:eastAsia="宋体" w:cs="宋体"/>
                <w:sz w:val="21"/>
                <w:szCs w:val="21"/>
              </w:rPr>
              <w:t>有限公司</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168000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11</w:t>
            </w:r>
          </w:p>
        </w:tc>
        <w:tc>
          <w:tcPr>
            <w:tcW w:w="1532" w:type="dxa"/>
            <w:gridSpan w:val="3"/>
            <w:tcBorders>
              <w:left w:val="single" w:color="auto" w:sz="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工业安全检测防御平台</w:t>
            </w:r>
          </w:p>
        </w:tc>
        <w:tc>
          <w:tcPr>
            <w:tcW w:w="2210" w:type="dxa"/>
            <w:gridSpan w:val="3"/>
            <w:tcBorders>
              <w:left w:val="single" w:color="auto" w:sz="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绿盟工控入侵检测系统V5.6(IDS-ICSNX3-N1010A)</w:t>
            </w:r>
          </w:p>
        </w:tc>
        <w:tc>
          <w:tcPr>
            <w:tcW w:w="1828" w:type="dxa"/>
            <w:gridSpan w:val="2"/>
            <w:tcBorders>
              <w:left w:val="single" w:color="auto" w:sz="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北京神州绿盟科技</w:t>
            </w:r>
            <w:r>
              <w:rPr>
                <w:rFonts w:hint="default" w:ascii="宋体" w:hAnsi="宋体" w:eastAsia="宋体" w:cs="宋体"/>
                <w:sz w:val="21"/>
                <w:szCs w:val="21"/>
              </w:rPr>
              <w:t>有限公司</w:t>
            </w:r>
          </w:p>
        </w:tc>
        <w:tc>
          <w:tcPr>
            <w:tcW w:w="696" w:type="dxa"/>
            <w:gridSpan w:val="2"/>
            <w:tcBorders>
              <w:left w:val="single" w:color="auto" w:sz="2" w:space="0"/>
              <w:bottom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left w:val="single" w:color="auto" w:sz="2" w:space="0"/>
              <w:bottom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bottom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165000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12</w:t>
            </w:r>
          </w:p>
        </w:tc>
        <w:tc>
          <w:tcPr>
            <w:tcW w:w="1532" w:type="dxa"/>
            <w:gridSpan w:val="3"/>
            <w:tcBorders>
              <w:top w:val="single" w:color="auto" w:sz="2" w:space="0"/>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工业安全漏洞挖掘与分析平台</w:t>
            </w:r>
          </w:p>
        </w:tc>
        <w:tc>
          <w:tcPr>
            <w:tcW w:w="2210" w:type="dxa"/>
            <w:gridSpan w:val="3"/>
            <w:tcBorders>
              <w:top w:val="single" w:color="auto" w:sz="2" w:space="0"/>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绿盟工控漏洞扫描系统 V6.0(ICSSCAN NX3-S)</w:t>
            </w:r>
          </w:p>
        </w:tc>
        <w:tc>
          <w:tcPr>
            <w:tcW w:w="1828" w:type="dxa"/>
            <w:gridSpan w:val="2"/>
            <w:tcBorders>
              <w:top w:val="single" w:color="auto" w:sz="2" w:space="0"/>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北京神州绿盟科技</w:t>
            </w:r>
            <w:r>
              <w:rPr>
                <w:rFonts w:hint="default" w:ascii="宋体" w:hAnsi="宋体" w:eastAsia="宋体" w:cs="宋体"/>
                <w:sz w:val="21"/>
                <w:szCs w:val="21"/>
              </w:rPr>
              <w:t>有限公司</w:t>
            </w:r>
          </w:p>
        </w:tc>
        <w:tc>
          <w:tcPr>
            <w:tcW w:w="696" w:type="dxa"/>
            <w:gridSpan w:val="2"/>
            <w:tcBorders>
              <w:top w:val="single" w:color="auto" w:sz="2" w:space="0"/>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top w:val="single" w:color="auto" w:sz="2" w:space="0"/>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top w:val="single" w:color="auto" w:sz="2" w:space="0"/>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298000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trPr>
        <w:tc>
          <w:tcPr>
            <w:tcW w:w="521" w:type="dxa"/>
            <w:tcBorders>
              <w:top w:val="single" w:color="auto" w:sz="2" w:space="0"/>
              <w:left w:val="single" w:color="auto" w:sz="12" w:space="0"/>
              <w:bottom w:val="single" w:color="auto" w:sz="2" w:space="0"/>
              <w:right w:val="single" w:color="auto" w:sz="2" w:space="0"/>
            </w:tcBorders>
            <w:vAlign w:val="center"/>
          </w:tcPr>
          <w:p>
            <w:pPr>
              <w:pStyle w:val="2"/>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13</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工业控制主机</w:t>
            </w:r>
          </w:p>
        </w:tc>
        <w:tc>
          <w:tcPr>
            <w:tcW w:w="2210" w:type="dxa"/>
            <w:gridSpan w:val="3"/>
            <w:tcBorders>
              <w:left w:val="single" w:color="auto" w:sz="2" w:space="0"/>
              <w:right w:val="single" w:color="auto" w:sz="2" w:space="0"/>
            </w:tcBorders>
            <w:vAlign w:val="center"/>
          </w:tcPr>
          <w:p>
            <w:pPr>
              <w:bidi w:val="0"/>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戴尔</w:t>
            </w:r>
            <w:r>
              <w:rPr>
                <w:rFonts w:hint="eastAsia" w:ascii="宋体" w:hAnsi="宋体" w:eastAsia="宋体" w:cs="宋体"/>
                <w:sz w:val="21"/>
                <w:szCs w:val="21"/>
              </w:rPr>
              <w:t>PowerVault ML6010</w:t>
            </w:r>
          </w:p>
        </w:tc>
        <w:tc>
          <w:tcPr>
            <w:tcW w:w="1828" w:type="dxa"/>
            <w:gridSpan w:val="2"/>
            <w:tcBorders>
              <w:left w:val="single" w:color="auto" w:sz="2" w:space="0"/>
              <w:right w:val="single" w:color="auto" w:sz="2" w:space="0"/>
            </w:tcBorders>
            <w:vAlign w:val="center"/>
          </w:tcPr>
          <w:p>
            <w:pPr>
              <w:spacing w:line="300" w:lineRule="exact"/>
              <w:jc w:val="center"/>
              <w:rPr>
                <w:rFonts w:hint="default"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戴尔（中国）有限公司</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4</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14</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工业控制软件</w:t>
            </w:r>
          </w:p>
        </w:tc>
        <w:tc>
          <w:tcPr>
            <w:tcW w:w="2210" w:type="dxa"/>
            <w:gridSpan w:val="3"/>
            <w:tcBorders>
              <w:left w:val="single" w:color="auto" w:sz="2" w:space="0"/>
              <w:right w:val="single" w:color="auto" w:sz="2" w:space="0"/>
            </w:tcBorders>
            <w:vAlign w:val="center"/>
          </w:tcPr>
          <w:p>
            <w:pPr>
              <w:spacing w:line="300" w:lineRule="exact"/>
              <w:ind w:firstLine="210" w:firstLineChars="0"/>
              <w:jc w:val="center"/>
              <w:rPr>
                <w:rFonts w:hint="eastAsia" w:ascii="宋体" w:hAnsi="宋体" w:eastAsia="宋体" w:cs="宋体"/>
                <w:kern w:val="1"/>
                <w:sz w:val="21"/>
                <w:szCs w:val="21"/>
                <w:lang w:val="en-US" w:eastAsia="zh-CN" w:bidi="ar-SA"/>
              </w:rPr>
            </w:pPr>
            <w:r>
              <w:rPr>
                <w:rFonts w:hint="eastAsia" w:ascii="宋体" w:hAnsi="宋体" w:eastAsia="宋体" w:cs="宋体"/>
                <w:b w:val="0"/>
                <w:bCs/>
                <w:color w:val="000000"/>
                <w:sz w:val="21"/>
                <w:szCs w:val="21"/>
              </w:rPr>
              <w:t>亚控Kingscada 353</w:t>
            </w:r>
          </w:p>
        </w:tc>
        <w:tc>
          <w:tcPr>
            <w:tcW w:w="1828" w:type="dxa"/>
            <w:gridSpan w:val="2"/>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北京</w:t>
            </w:r>
            <w:r>
              <w:rPr>
                <w:rFonts w:hint="default" w:ascii="宋体" w:hAnsi="宋体" w:eastAsia="宋体" w:cs="宋体"/>
                <w:sz w:val="21"/>
                <w:szCs w:val="21"/>
              </w:rPr>
              <w:t>亚控科技发展有限公司</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2</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15</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智能化仪表</w:t>
            </w:r>
          </w:p>
        </w:tc>
        <w:tc>
          <w:tcPr>
            <w:tcW w:w="2210" w:type="dxa"/>
            <w:gridSpan w:val="3"/>
            <w:tcBorders>
              <w:left w:val="single" w:color="auto" w:sz="2" w:space="0"/>
              <w:right w:val="single" w:color="auto" w:sz="2" w:space="0"/>
            </w:tcBorders>
            <w:vAlign w:val="center"/>
          </w:tcPr>
          <w:p>
            <w:pPr>
              <w:spacing w:line="300" w:lineRule="exact"/>
              <w:ind w:firstLine="210" w:firstLineChars="0"/>
              <w:jc w:val="center"/>
              <w:rPr>
                <w:rFonts w:hint="eastAsia" w:ascii="宋体" w:hAnsi="宋体" w:eastAsia="宋体" w:cs="宋体"/>
                <w:b w:val="0"/>
                <w:bCs/>
                <w:kern w:val="1"/>
                <w:sz w:val="21"/>
                <w:szCs w:val="21"/>
                <w:lang w:val="en-US" w:eastAsia="zh-CN" w:bidi="ar-SA"/>
              </w:rPr>
            </w:pPr>
            <w:r>
              <w:rPr>
                <w:rFonts w:hint="eastAsia" w:ascii="宋体" w:hAnsi="宋体" w:eastAsia="宋体" w:cs="宋体"/>
                <w:b w:val="0"/>
                <w:bCs/>
                <w:sz w:val="21"/>
                <w:szCs w:val="21"/>
              </w:rPr>
              <w:t>安东电子（ANTHONE）LU-DU53</w:t>
            </w:r>
          </w:p>
        </w:tc>
        <w:tc>
          <w:tcPr>
            <w:tcW w:w="1828" w:type="dxa"/>
            <w:gridSpan w:val="2"/>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厦门安东电子有限公司</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8</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台</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16</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工业控制设备安全防护系统</w:t>
            </w:r>
          </w:p>
        </w:tc>
        <w:tc>
          <w:tcPr>
            <w:tcW w:w="2210" w:type="dxa"/>
            <w:gridSpan w:val="3"/>
            <w:tcBorders>
              <w:left w:val="single" w:color="auto" w:sz="2" w:space="0"/>
              <w:right w:val="single" w:color="auto" w:sz="2" w:space="0"/>
            </w:tcBorders>
            <w:vAlign w:val="center"/>
          </w:tcPr>
          <w:p>
            <w:pPr>
              <w:spacing w:line="300" w:lineRule="exact"/>
              <w:ind w:firstLine="210" w:firstLineChars="0"/>
              <w:jc w:val="center"/>
              <w:rPr>
                <w:rFonts w:hint="eastAsia" w:ascii="宋体" w:hAnsi="宋体" w:eastAsia="宋体" w:cs="宋体"/>
                <w:b w:val="0"/>
                <w:bCs/>
                <w:kern w:val="1"/>
                <w:sz w:val="21"/>
                <w:szCs w:val="21"/>
                <w:lang w:val="en-US" w:eastAsia="zh-CN" w:bidi="ar-SA"/>
              </w:rPr>
            </w:pPr>
            <w:r>
              <w:rPr>
                <w:rFonts w:hint="eastAsia" w:ascii="宋体" w:hAnsi="宋体" w:eastAsia="宋体" w:cs="宋体"/>
                <w:b w:val="0"/>
                <w:bCs/>
                <w:color w:val="000000"/>
                <w:sz w:val="21"/>
                <w:szCs w:val="21"/>
              </w:rPr>
              <w:t>深信服终端检测响应平台系统</w:t>
            </w:r>
          </w:p>
        </w:tc>
        <w:tc>
          <w:tcPr>
            <w:tcW w:w="1828" w:type="dxa"/>
            <w:gridSpan w:val="2"/>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深信服科技股份有限公司</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17</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实验室管理系统平台</w:t>
            </w:r>
          </w:p>
        </w:tc>
        <w:tc>
          <w:tcPr>
            <w:tcW w:w="2210" w:type="dxa"/>
            <w:gridSpan w:val="3"/>
            <w:tcBorders>
              <w:left w:val="single" w:color="auto" w:sz="2" w:space="0"/>
              <w:right w:val="single" w:color="auto" w:sz="2" w:space="0"/>
            </w:tcBorders>
            <w:vAlign w:val="center"/>
          </w:tcPr>
          <w:p>
            <w:pPr>
              <w:bidi w:val="0"/>
              <w:jc w:val="center"/>
              <w:rPr>
                <w:rFonts w:hint="eastAsia" w:ascii="宋体" w:hAnsi="宋体" w:eastAsia="宋体" w:cs="宋体"/>
                <w:b/>
                <w:kern w:val="1"/>
                <w:sz w:val="21"/>
                <w:szCs w:val="21"/>
                <w:lang w:val="en-US" w:eastAsia="zh-CN" w:bidi="ar-SA"/>
              </w:rPr>
            </w:pPr>
            <w:r>
              <w:rPr>
                <w:rFonts w:hint="eastAsia" w:ascii="宋体" w:hAnsi="宋体" w:eastAsia="宋体" w:cs="宋体"/>
                <w:sz w:val="21"/>
                <w:szCs w:val="21"/>
              </w:rPr>
              <w:t>噢易机房OSS系统V5.0</w:t>
            </w:r>
          </w:p>
        </w:tc>
        <w:tc>
          <w:tcPr>
            <w:tcW w:w="1828" w:type="dxa"/>
            <w:gridSpan w:val="2"/>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武汉</w:t>
            </w:r>
            <w:r>
              <w:rPr>
                <w:rFonts w:hint="default" w:ascii="宋体" w:hAnsi="宋体" w:eastAsia="宋体" w:cs="宋体"/>
                <w:sz w:val="21"/>
                <w:szCs w:val="21"/>
              </w:rPr>
              <w:t>噢易云计算股份有限公司</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18</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镜像交换机</w:t>
            </w:r>
          </w:p>
        </w:tc>
        <w:tc>
          <w:tcPr>
            <w:tcW w:w="2210" w:type="dxa"/>
            <w:gridSpan w:val="3"/>
            <w:tcBorders>
              <w:left w:val="single" w:color="auto" w:sz="2" w:space="0"/>
              <w:right w:val="single" w:color="auto" w:sz="2" w:space="0"/>
            </w:tcBorders>
            <w:vAlign w:val="center"/>
          </w:tcPr>
          <w:p>
            <w:pPr>
              <w:bidi w:val="0"/>
              <w:jc w:val="center"/>
              <w:rPr>
                <w:rFonts w:hint="eastAsia" w:ascii="宋体" w:hAnsi="宋体" w:eastAsia="宋体" w:cs="宋体"/>
                <w:b/>
                <w:kern w:val="1"/>
                <w:sz w:val="21"/>
                <w:szCs w:val="21"/>
                <w:lang w:val="en-US" w:eastAsia="zh-CN" w:bidi="ar-SA"/>
              </w:rPr>
            </w:pPr>
            <w:r>
              <w:rPr>
                <w:rFonts w:hint="eastAsia" w:ascii="宋体" w:hAnsi="宋体" w:eastAsia="宋体" w:cs="宋体"/>
                <w:sz w:val="21"/>
                <w:szCs w:val="21"/>
              </w:rPr>
              <w:t>华三 S5120V2-28P-SI</w:t>
            </w:r>
          </w:p>
        </w:tc>
        <w:tc>
          <w:tcPr>
            <w:tcW w:w="1828" w:type="dxa"/>
            <w:gridSpan w:val="2"/>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新华三</w:t>
            </w:r>
            <w:r>
              <w:rPr>
                <w:rFonts w:hint="default" w:ascii="宋体" w:hAnsi="宋体" w:eastAsia="宋体" w:cs="宋体"/>
                <w:sz w:val="21"/>
                <w:szCs w:val="21"/>
              </w:rPr>
              <w:t>技术有限公司</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2</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台</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19</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科研实验配套课题</w:t>
            </w:r>
          </w:p>
        </w:tc>
        <w:tc>
          <w:tcPr>
            <w:tcW w:w="2210"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b/>
                <w:kern w:val="1"/>
                <w:sz w:val="21"/>
                <w:szCs w:val="21"/>
                <w:lang w:val="en-US" w:eastAsia="zh-CN" w:bidi="ar-SA"/>
              </w:rPr>
            </w:pPr>
            <w:r>
              <w:rPr>
                <w:rFonts w:hint="eastAsia" w:ascii="宋体" w:hAnsi="宋体" w:eastAsia="宋体" w:cs="宋体"/>
                <w:b w:val="0"/>
                <w:bCs/>
                <w:sz w:val="21"/>
                <w:szCs w:val="21"/>
              </w:rPr>
              <w:t>绿盟定制</w:t>
            </w:r>
          </w:p>
        </w:tc>
        <w:tc>
          <w:tcPr>
            <w:tcW w:w="1828" w:type="dxa"/>
            <w:gridSpan w:val="2"/>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北京神州绿盟科技</w:t>
            </w:r>
            <w:r>
              <w:rPr>
                <w:rFonts w:hint="default" w:ascii="宋体" w:hAnsi="宋体" w:eastAsia="宋体" w:cs="宋体"/>
                <w:sz w:val="21"/>
                <w:szCs w:val="21"/>
              </w:rPr>
              <w:t>有限公司</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20</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控制显示大屏</w:t>
            </w:r>
          </w:p>
        </w:tc>
        <w:tc>
          <w:tcPr>
            <w:tcW w:w="2210" w:type="dxa"/>
            <w:gridSpan w:val="3"/>
            <w:tcBorders>
              <w:left w:val="single" w:color="auto" w:sz="2" w:space="0"/>
              <w:right w:val="single" w:color="auto" w:sz="2" w:space="0"/>
            </w:tcBorders>
            <w:vAlign w:val="center"/>
          </w:tcPr>
          <w:p>
            <w:pPr>
              <w:spacing w:line="300" w:lineRule="exact"/>
              <w:ind w:firstLine="210" w:firstLineChars="0"/>
              <w:jc w:val="center"/>
              <w:rPr>
                <w:rFonts w:hint="eastAsia" w:ascii="宋体" w:hAnsi="宋体" w:eastAsia="宋体" w:cs="宋体"/>
                <w:b/>
                <w:kern w:val="1"/>
                <w:sz w:val="21"/>
                <w:szCs w:val="21"/>
                <w:lang w:val="en-US" w:eastAsia="zh-CN" w:bidi="ar-SA"/>
              </w:rPr>
            </w:pPr>
            <w:r>
              <w:rPr>
                <w:rFonts w:hint="eastAsia" w:ascii="宋体" w:hAnsi="宋体" w:eastAsia="宋体" w:cs="宋体"/>
                <w:b w:val="0"/>
                <w:bCs/>
                <w:color w:val="000000"/>
                <w:sz w:val="21"/>
                <w:szCs w:val="21"/>
              </w:rPr>
              <w:t>蓝普科技P2.5</w:t>
            </w:r>
          </w:p>
        </w:tc>
        <w:tc>
          <w:tcPr>
            <w:tcW w:w="1828" w:type="dxa"/>
            <w:gridSpan w:val="2"/>
            <w:tcBorders>
              <w:left w:val="single" w:color="auto" w:sz="2" w:space="0"/>
              <w:right w:val="single" w:color="auto" w:sz="2" w:space="0"/>
            </w:tcBorders>
            <w:vAlign w:val="center"/>
          </w:tcPr>
          <w:p>
            <w:pPr>
              <w:spacing w:line="300" w:lineRule="exact"/>
              <w:jc w:val="center"/>
              <w:rPr>
                <w:rFonts w:hint="default"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深圳</w:t>
            </w:r>
            <w:r>
              <w:rPr>
                <w:rFonts w:hint="eastAsia" w:ascii="宋体" w:hAnsi="宋体" w:eastAsia="宋体" w:cs="宋体"/>
                <w:b w:val="0"/>
                <w:bCs/>
                <w:color w:val="000000"/>
                <w:sz w:val="21"/>
                <w:szCs w:val="21"/>
              </w:rPr>
              <w:t>蓝普科技</w:t>
            </w:r>
            <w:r>
              <w:rPr>
                <w:rFonts w:hint="eastAsia" w:ascii="宋体" w:hAnsi="宋体" w:eastAsia="宋体" w:cs="宋体"/>
                <w:sz w:val="21"/>
                <w:szCs w:val="21"/>
                <w:lang w:val="en-US" w:eastAsia="zh-CN"/>
              </w:rPr>
              <w:t>有限公司</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45650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21</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实验室配套桌椅</w:t>
            </w:r>
          </w:p>
        </w:tc>
        <w:tc>
          <w:tcPr>
            <w:tcW w:w="2210"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b/>
                <w:kern w:val="1"/>
                <w:sz w:val="21"/>
                <w:szCs w:val="21"/>
                <w:lang w:val="en-US" w:eastAsia="zh-CN" w:bidi="ar-SA"/>
              </w:rPr>
            </w:pPr>
            <w:r>
              <w:rPr>
                <w:rFonts w:hint="eastAsia" w:ascii="宋体" w:hAnsi="宋体" w:eastAsia="宋体" w:cs="宋体"/>
                <w:b w:val="0"/>
                <w:bCs w:val="0"/>
                <w:color w:val="000000"/>
                <w:sz w:val="21"/>
                <w:szCs w:val="21"/>
                <w:lang w:eastAsia="zh-CN"/>
              </w:rPr>
              <w:t>森健办公家具</w:t>
            </w:r>
            <w:r>
              <w:rPr>
                <w:rFonts w:hint="eastAsia" w:ascii="宋体" w:hAnsi="宋体" w:eastAsia="宋体" w:cs="宋体"/>
                <w:b w:val="0"/>
                <w:bCs w:val="0"/>
                <w:color w:val="000000"/>
                <w:sz w:val="21"/>
                <w:szCs w:val="21"/>
              </w:rPr>
              <w:t>定制</w:t>
            </w:r>
          </w:p>
        </w:tc>
        <w:tc>
          <w:tcPr>
            <w:tcW w:w="1828" w:type="dxa"/>
            <w:gridSpan w:val="2"/>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郑州</w:t>
            </w:r>
            <w:r>
              <w:rPr>
                <w:rFonts w:hint="eastAsia" w:ascii="宋体" w:hAnsi="宋体" w:eastAsia="宋体" w:cs="宋体"/>
                <w:b w:val="0"/>
                <w:bCs w:val="0"/>
                <w:color w:val="000000"/>
                <w:sz w:val="21"/>
                <w:szCs w:val="21"/>
                <w:lang w:eastAsia="zh-CN"/>
              </w:rPr>
              <w:t>森健办公家具</w:t>
            </w:r>
            <w:r>
              <w:rPr>
                <w:rFonts w:hint="eastAsia" w:ascii="宋体" w:hAnsi="宋体" w:eastAsia="宋体" w:cs="宋体"/>
                <w:b w:val="0"/>
                <w:bCs w:val="0"/>
                <w:color w:val="000000"/>
                <w:sz w:val="21"/>
                <w:szCs w:val="21"/>
                <w:lang w:val="en-US" w:eastAsia="zh-CN"/>
              </w:rPr>
              <w:t>厂</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45</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个</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42750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22</w:t>
            </w:r>
          </w:p>
        </w:tc>
        <w:tc>
          <w:tcPr>
            <w:tcW w:w="1532" w:type="dxa"/>
            <w:gridSpan w:val="3"/>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教师桌椅</w:t>
            </w:r>
          </w:p>
        </w:tc>
        <w:tc>
          <w:tcPr>
            <w:tcW w:w="2210"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b/>
                <w:kern w:val="1"/>
                <w:sz w:val="21"/>
                <w:szCs w:val="21"/>
                <w:lang w:val="en-US" w:eastAsia="zh-CN" w:bidi="ar-SA"/>
              </w:rPr>
            </w:pPr>
            <w:r>
              <w:rPr>
                <w:rFonts w:hint="eastAsia" w:ascii="宋体" w:hAnsi="宋体" w:eastAsia="宋体" w:cs="宋体"/>
                <w:b w:val="0"/>
                <w:bCs w:val="0"/>
                <w:color w:val="000000"/>
                <w:sz w:val="21"/>
                <w:szCs w:val="21"/>
                <w:lang w:eastAsia="zh-CN"/>
              </w:rPr>
              <w:t>森健办公家具</w:t>
            </w:r>
            <w:r>
              <w:rPr>
                <w:rFonts w:hint="eastAsia" w:ascii="宋体" w:hAnsi="宋体" w:eastAsia="宋体" w:cs="宋体"/>
                <w:b w:val="0"/>
                <w:bCs w:val="0"/>
                <w:color w:val="000000"/>
                <w:sz w:val="21"/>
                <w:szCs w:val="21"/>
              </w:rPr>
              <w:t>定制</w:t>
            </w:r>
          </w:p>
        </w:tc>
        <w:tc>
          <w:tcPr>
            <w:tcW w:w="1828" w:type="dxa"/>
            <w:gridSpan w:val="2"/>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郑州森健办公家具厂</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23</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电气设备柜子</w:t>
            </w:r>
          </w:p>
        </w:tc>
        <w:tc>
          <w:tcPr>
            <w:tcW w:w="2210"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b/>
                <w:kern w:val="1"/>
                <w:sz w:val="21"/>
                <w:szCs w:val="21"/>
                <w:lang w:val="en-US" w:eastAsia="zh-CN" w:bidi="ar-SA"/>
              </w:rPr>
            </w:pPr>
            <w:r>
              <w:rPr>
                <w:rFonts w:hint="eastAsia" w:ascii="宋体" w:hAnsi="宋体" w:eastAsia="宋体" w:cs="宋体"/>
                <w:b w:val="0"/>
                <w:bCs/>
                <w:sz w:val="21"/>
                <w:szCs w:val="21"/>
              </w:rPr>
              <w:t>迈控电气柜 FZ2800</w:t>
            </w:r>
          </w:p>
        </w:tc>
        <w:tc>
          <w:tcPr>
            <w:tcW w:w="1828" w:type="dxa"/>
            <w:gridSpan w:val="2"/>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default" w:ascii="宋体" w:hAnsi="宋体" w:eastAsia="宋体" w:cs="宋体"/>
                <w:sz w:val="21"/>
                <w:szCs w:val="21"/>
                <w:lang w:val="en-US" w:eastAsia="zh-CN"/>
              </w:rPr>
              <w:fldChar w:fldCharType="begin"/>
            </w:r>
            <w:r>
              <w:rPr>
                <w:rFonts w:hint="default" w:ascii="宋体" w:hAnsi="宋体" w:eastAsia="宋体" w:cs="宋体"/>
                <w:sz w:val="21"/>
                <w:szCs w:val="21"/>
                <w:lang w:val="en-US" w:eastAsia="zh-CN"/>
              </w:rPr>
              <w:instrText xml:space="preserve"> HYPERLINK "http://www.baidu.com/link?url=Hvoj1QjO8K5-st4iBSwQKGnM2d32Rh0Y6_RV8FJUsoyKbpVyMm04ckeqF2fl0srN" \t "https://www.baidu.com/_blank" </w:instrText>
            </w:r>
            <w:r>
              <w:rPr>
                <w:rFonts w:hint="default"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江西迈控电气有限公司</w:t>
            </w:r>
            <w:r>
              <w:rPr>
                <w:rFonts w:hint="default" w:ascii="宋体" w:hAnsi="宋体" w:eastAsia="宋体" w:cs="宋体"/>
                <w:sz w:val="21"/>
                <w:szCs w:val="21"/>
                <w:lang w:val="en-US" w:eastAsia="zh-CN"/>
              </w:rPr>
              <w:fldChar w:fldCharType="end"/>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台</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24</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多媒体功放音响设备</w:t>
            </w:r>
          </w:p>
        </w:tc>
        <w:tc>
          <w:tcPr>
            <w:tcW w:w="2210"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b/>
                <w:kern w:val="1"/>
                <w:sz w:val="21"/>
                <w:szCs w:val="21"/>
                <w:lang w:val="en-US" w:eastAsia="zh-CN" w:bidi="ar-SA"/>
              </w:rPr>
            </w:pPr>
            <w:r>
              <w:rPr>
                <w:rFonts w:hint="eastAsia" w:ascii="宋体" w:hAnsi="宋体" w:eastAsia="宋体" w:cs="宋体"/>
                <w:b w:val="0"/>
                <w:bCs/>
                <w:color w:val="000000"/>
                <w:sz w:val="21"/>
                <w:szCs w:val="21"/>
              </w:rPr>
              <w:t>索爱SA-8008</w:t>
            </w:r>
          </w:p>
        </w:tc>
        <w:tc>
          <w:tcPr>
            <w:tcW w:w="1828" w:type="dxa"/>
            <w:gridSpan w:val="2"/>
            <w:tcBorders>
              <w:left w:val="single" w:color="auto" w:sz="2" w:space="0"/>
              <w:right w:val="single" w:color="auto" w:sz="2" w:space="0"/>
            </w:tcBorders>
            <w:vAlign w:val="center"/>
          </w:tcPr>
          <w:p>
            <w:pPr>
              <w:spacing w:line="300" w:lineRule="exact"/>
              <w:jc w:val="center"/>
              <w:rPr>
                <w:rFonts w:hint="default"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广州索爱数码科技有限公司</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right w:val="single" w:color="auto" w:sz="2" w:space="0"/>
            </w:tcBorders>
            <w:vAlign w:val="center"/>
          </w:tcPr>
          <w:p>
            <w:pPr>
              <w:spacing w:line="360" w:lineRule="auto"/>
              <w:jc w:val="center"/>
              <w:textAlignment w:val="top"/>
              <w:rPr>
                <w:rFonts w:hint="eastAsia" w:ascii="宋体" w:hAnsi="宋体" w:eastAsia="宋体" w:cs="宋体"/>
                <w:kern w:val="1"/>
                <w:sz w:val="21"/>
                <w:szCs w:val="21"/>
                <w:lang w:val="en-US" w:eastAsia="zh-CN" w:bidi="ar-SA"/>
              </w:rPr>
            </w:pPr>
            <w:r>
              <w:rPr>
                <w:rFonts w:hint="eastAsia" w:ascii="宋体" w:hAnsi="宋体" w:eastAsia="宋体" w:cs="宋体"/>
                <w:sz w:val="21"/>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25</w:t>
            </w:r>
          </w:p>
        </w:tc>
        <w:tc>
          <w:tcPr>
            <w:tcW w:w="1532"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实验室综合布线</w:t>
            </w:r>
          </w:p>
        </w:tc>
        <w:tc>
          <w:tcPr>
            <w:tcW w:w="2210" w:type="dxa"/>
            <w:gridSpan w:val="3"/>
            <w:tcBorders>
              <w:left w:val="single" w:color="auto" w:sz="2" w:space="0"/>
              <w:right w:val="single" w:color="auto" w:sz="2" w:space="0"/>
            </w:tcBorders>
            <w:vAlign w:val="center"/>
          </w:tcPr>
          <w:p>
            <w:pPr>
              <w:spacing w:line="300" w:lineRule="exact"/>
              <w:jc w:val="center"/>
              <w:rPr>
                <w:rFonts w:hint="eastAsia" w:ascii="宋体" w:hAnsi="宋体" w:eastAsia="宋体" w:cs="宋体"/>
                <w:b w:val="0"/>
                <w:bCs/>
                <w:kern w:val="1"/>
                <w:sz w:val="21"/>
                <w:szCs w:val="21"/>
                <w:lang w:val="en-US" w:eastAsia="zh-CN" w:bidi="ar-SA"/>
              </w:rPr>
            </w:pPr>
            <w:r>
              <w:rPr>
                <w:rFonts w:hint="eastAsia" w:ascii="宋体" w:hAnsi="宋体" w:eastAsia="宋体" w:cs="宋体"/>
                <w:b w:val="0"/>
                <w:bCs/>
                <w:sz w:val="21"/>
                <w:szCs w:val="21"/>
              </w:rPr>
              <w:t>锋恩定制</w:t>
            </w:r>
          </w:p>
        </w:tc>
        <w:tc>
          <w:tcPr>
            <w:tcW w:w="1828" w:type="dxa"/>
            <w:gridSpan w:val="2"/>
            <w:tcBorders>
              <w:left w:val="single" w:color="auto" w:sz="2" w:space="0"/>
              <w:right w:val="single" w:color="auto" w:sz="2" w:space="0"/>
            </w:tcBorders>
            <w:vAlign w:val="center"/>
          </w:tcPr>
          <w:p>
            <w:pPr>
              <w:spacing w:line="300" w:lineRule="exact"/>
              <w:jc w:val="center"/>
              <w:rPr>
                <w:rFonts w:hint="default"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河南锋恩电气有限公司</w:t>
            </w:r>
          </w:p>
        </w:tc>
        <w:tc>
          <w:tcPr>
            <w:tcW w:w="696"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 w:hRule="atLeast"/>
        </w:trPr>
        <w:tc>
          <w:tcPr>
            <w:tcW w:w="521"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26</w:t>
            </w:r>
          </w:p>
        </w:tc>
        <w:tc>
          <w:tcPr>
            <w:tcW w:w="1532" w:type="dxa"/>
            <w:gridSpan w:val="3"/>
            <w:tcBorders>
              <w:left w:val="single" w:color="auto" w:sz="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实验室配套环境建设</w:t>
            </w:r>
          </w:p>
        </w:tc>
        <w:tc>
          <w:tcPr>
            <w:tcW w:w="2210" w:type="dxa"/>
            <w:gridSpan w:val="3"/>
            <w:tcBorders>
              <w:left w:val="single" w:color="auto" w:sz="2" w:space="0"/>
              <w:bottom w:val="single" w:color="auto" w:sz="2" w:space="0"/>
              <w:right w:val="single" w:color="auto" w:sz="2" w:space="0"/>
            </w:tcBorders>
            <w:vAlign w:val="center"/>
          </w:tcPr>
          <w:p>
            <w:pPr>
              <w:spacing w:line="300" w:lineRule="exact"/>
              <w:jc w:val="center"/>
              <w:rPr>
                <w:rFonts w:hint="eastAsia" w:ascii="宋体" w:hAnsi="宋体" w:eastAsia="宋体" w:cs="宋体"/>
                <w:b w:val="0"/>
                <w:bCs/>
                <w:kern w:val="1"/>
                <w:sz w:val="21"/>
                <w:szCs w:val="21"/>
                <w:lang w:val="en-US" w:eastAsia="zh-CN" w:bidi="ar-SA"/>
              </w:rPr>
            </w:pPr>
            <w:r>
              <w:rPr>
                <w:rFonts w:hint="eastAsia" w:ascii="宋体" w:hAnsi="宋体" w:eastAsia="宋体" w:cs="宋体"/>
                <w:b w:val="0"/>
                <w:bCs/>
                <w:sz w:val="21"/>
                <w:szCs w:val="21"/>
              </w:rPr>
              <w:t>锋恩定制</w:t>
            </w:r>
          </w:p>
        </w:tc>
        <w:tc>
          <w:tcPr>
            <w:tcW w:w="1828" w:type="dxa"/>
            <w:gridSpan w:val="2"/>
            <w:tcBorders>
              <w:left w:val="single" w:color="auto" w:sz="2" w:space="0"/>
              <w:bottom w:val="single" w:color="auto" w:sz="2" w:space="0"/>
              <w:right w:val="single" w:color="auto" w:sz="2" w:space="0"/>
            </w:tcBorders>
            <w:vAlign w:val="center"/>
          </w:tcPr>
          <w:p>
            <w:pPr>
              <w:spacing w:line="300" w:lineRule="exact"/>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河南锋恩电气有限公司</w:t>
            </w:r>
          </w:p>
        </w:tc>
        <w:tc>
          <w:tcPr>
            <w:tcW w:w="696" w:type="dxa"/>
            <w:gridSpan w:val="2"/>
            <w:tcBorders>
              <w:left w:val="single" w:color="auto" w:sz="2" w:space="0"/>
              <w:bottom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1</w:t>
            </w:r>
          </w:p>
        </w:tc>
        <w:tc>
          <w:tcPr>
            <w:tcW w:w="880" w:type="dxa"/>
            <w:gridSpan w:val="2"/>
            <w:tcBorders>
              <w:left w:val="single" w:color="auto" w:sz="2" w:space="0"/>
              <w:bottom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lang w:val="en-US" w:eastAsia="zh-CN"/>
              </w:rPr>
              <w:t>套</w:t>
            </w:r>
          </w:p>
        </w:tc>
        <w:tc>
          <w:tcPr>
            <w:tcW w:w="1186" w:type="dxa"/>
            <w:tcBorders>
              <w:left w:val="single" w:color="auto" w:sz="2" w:space="0"/>
              <w:bottom w:val="single" w:color="auto" w:sz="2" w:space="0"/>
              <w:right w:val="single" w:color="auto" w:sz="2" w:space="0"/>
            </w:tcBorders>
            <w:vAlign w:val="center"/>
          </w:tcPr>
          <w:p>
            <w:pPr>
              <w:jc w:val="center"/>
              <w:rPr>
                <w:rFonts w:hint="eastAsia" w:ascii="宋体" w:hAnsi="宋体" w:eastAsia="宋体" w:cs="宋体"/>
                <w:kern w:val="1"/>
                <w:sz w:val="21"/>
                <w:szCs w:val="21"/>
                <w:lang w:val="en-US" w:eastAsia="zh-CN" w:bidi="ar-SA"/>
              </w:rPr>
            </w:pPr>
            <w:r>
              <w:rPr>
                <w:rFonts w:hint="eastAsia" w:ascii="宋体" w:hAnsi="宋体" w:eastAsia="宋体" w:cs="宋体"/>
                <w:sz w:val="21"/>
                <w:szCs w:val="21"/>
              </w:rPr>
              <w:t>43500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521" w:type="dxa"/>
            <w:vMerge w:val="restart"/>
            <w:tcBorders>
              <w:top w:val="single" w:color="auto" w:sz="12" w:space="0"/>
              <w:left w:val="single" w:color="auto" w:sz="12" w:space="0"/>
            </w:tcBorders>
            <w:textDirection w:val="tbRlV"/>
            <w:vAlign w:val="center"/>
          </w:tcPr>
          <w:p>
            <w:pPr>
              <w:ind w:left="113" w:right="113"/>
              <w:jc w:val="center"/>
            </w:pPr>
            <w:r>
              <w:rPr>
                <w:rFonts w:hint="eastAsia" w:cs="宋体"/>
              </w:rPr>
              <w:t>实</w:t>
            </w:r>
            <w:r>
              <w:t xml:space="preserve"> </w:t>
            </w:r>
            <w:r>
              <w:rPr>
                <w:rFonts w:hint="eastAsia" w:cs="宋体"/>
              </w:rPr>
              <w:t>物</w:t>
            </w:r>
            <w:r>
              <w:t xml:space="preserve"> </w:t>
            </w:r>
            <w:r>
              <w:rPr>
                <w:rFonts w:hint="eastAsia" w:cs="宋体"/>
              </w:rPr>
              <w:t>验</w:t>
            </w:r>
            <w:r>
              <w:t xml:space="preserve"> </w:t>
            </w:r>
            <w:r>
              <w:rPr>
                <w:rFonts w:hint="eastAsia" w:cs="宋体"/>
              </w:rPr>
              <w:t>收</w:t>
            </w:r>
            <w:r>
              <w:t xml:space="preserve"> </w:t>
            </w:r>
            <w:r>
              <w:rPr>
                <w:rFonts w:hint="eastAsia" w:cs="宋体"/>
              </w:rPr>
              <w:t>情</w:t>
            </w:r>
            <w:r>
              <w:t xml:space="preserve"> </w:t>
            </w:r>
            <w:r>
              <w:rPr>
                <w:rFonts w:hint="eastAsia" w:cs="宋体"/>
              </w:rPr>
              <w:t>况</w:t>
            </w:r>
          </w:p>
        </w:tc>
        <w:tc>
          <w:tcPr>
            <w:tcW w:w="8332" w:type="dxa"/>
            <w:gridSpan w:val="13"/>
            <w:tcBorders>
              <w:top w:val="single" w:color="auto" w:sz="12" w:space="0"/>
              <w:right w:val="single" w:color="auto" w:sz="12" w:space="0"/>
            </w:tcBorders>
          </w:tcPr>
          <w:p>
            <w:r>
              <w:rPr>
                <w:rFonts w:hint="eastAsia" w:cs="宋体"/>
              </w:rPr>
              <w:t>外观质量（有无残损，程度如何）。</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3" w:hRule="atLeast"/>
        </w:trPr>
        <w:tc>
          <w:tcPr>
            <w:tcW w:w="521" w:type="dxa"/>
            <w:vMerge w:val="continue"/>
            <w:tcBorders>
              <w:left w:val="single" w:color="auto" w:sz="12" w:space="0"/>
            </w:tcBorders>
            <w:vAlign w:val="center"/>
          </w:tcPr>
          <w:p>
            <w:pPr>
              <w:jc w:val="center"/>
            </w:pPr>
          </w:p>
        </w:tc>
        <w:tc>
          <w:tcPr>
            <w:tcW w:w="8332" w:type="dxa"/>
            <w:gridSpan w:val="13"/>
            <w:tcBorders>
              <w:right w:val="single" w:color="auto" w:sz="12" w:space="0"/>
            </w:tcBorders>
          </w:tcPr>
          <w:p>
            <w:r>
              <w:rPr>
                <w:rFonts w:hint="eastAsia" w:cs="宋体"/>
              </w:rPr>
              <w:t>清点数量（主机、配件、型号、规格、产地是否与招投标文件、合同、发票、装箱单的数量相同，若有出入，说明缺件名称、规格、数量、金额）。</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trPr>
        <w:tc>
          <w:tcPr>
            <w:tcW w:w="521" w:type="dxa"/>
            <w:vMerge w:val="continue"/>
            <w:tcBorders>
              <w:left w:val="single" w:color="auto" w:sz="12" w:space="0"/>
            </w:tcBorders>
            <w:vAlign w:val="center"/>
          </w:tcPr>
          <w:p>
            <w:pPr>
              <w:jc w:val="center"/>
            </w:pPr>
          </w:p>
        </w:tc>
        <w:tc>
          <w:tcPr>
            <w:tcW w:w="8332" w:type="dxa"/>
            <w:gridSpan w:val="13"/>
            <w:tcBorders>
              <w:right w:val="single" w:color="auto" w:sz="12" w:space="0"/>
            </w:tcBorders>
          </w:tcPr>
          <w:p>
            <w:r>
              <w:rPr>
                <w:rFonts w:hint="eastAsia" w:cs="宋体"/>
              </w:rPr>
              <w:t>仪器设备安装调试及使用人员培训情况（是否完成整套设备安装、有无安装缺陷，使用人员是否经过培训）。</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7" w:hRule="atLeast"/>
        </w:trPr>
        <w:tc>
          <w:tcPr>
            <w:tcW w:w="521" w:type="dxa"/>
            <w:tcBorders>
              <w:top w:val="single" w:color="auto" w:sz="12" w:space="0"/>
              <w:left w:val="single" w:color="auto" w:sz="12" w:space="0"/>
            </w:tcBorders>
            <w:textDirection w:val="tbRlV"/>
            <w:vAlign w:val="center"/>
          </w:tcPr>
          <w:p>
            <w:pPr>
              <w:ind w:left="113" w:right="113"/>
              <w:jc w:val="center"/>
            </w:pPr>
            <w:r>
              <w:rPr>
                <w:rFonts w:hint="eastAsia" w:cs="宋体"/>
              </w:rPr>
              <w:t>技术验收情况</w:t>
            </w:r>
          </w:p>
        </w:tc>
        <w:tc>
          <w:tcPr>
            <w:tcW w:w="8332" w:type="dxa"/>
            <w:gridSpan w:val="13"/>
            <w:tcBorders>
              <w:top w:val="single" w:color="auto" w:sz="12" w:space="0"/>
              <w:right w:val="single" w:color="auto" w:sz="12" w:space="0"/>
            </w:tcBorders>
          </w:tcPr>
          <w:p>
            <w:pPr>
              <w:rPr>
                <w:rFonts w:ascii="宋体" w:cs="宋体"/>
              </w:rPr>
            </w:pPr>
            <w:r>
              <w:rPr>
                <w:rFonts w:hint="eastAsia" w:ascii="宋体" w:hAnsi="宋体" w:cs="宋体"/>
              </w:rPr>
              <w:t>依据合同约定技术条款逐一测定设备的性能和各项技术指标，所测结果是否与合同约定技术条款规定的一样，性能是否稳定，配件是否齐全，是否有安全隐患，具体说明。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0" w:hRule="atLeast"/>
        </w:trPr>
        <w:tc>
          <w:tcPr>
            <w:tcW w:w="521" w:type="dxa"/>
            <w:tcBorders>
              <w:top w:val="single" w:color="auto" w:sz="12" w:space="0"/>
              <w:left w:val="single" w:color="auto" w:sz="12" w:space="0"/>
              <w:bottom w:val="single" w:color="000000" w:sz="12" w:space="0"/>
            </w:tcBorders>
            <w:textDirection w:val="tbRlV"/>
            <w:vAlign w:val="center"/>
          </w:tcPr>
          <w:p>
            <w:pPr>
              <w:spacing w:after="120"/>
              <w:ind w:left="113" w:right="113"/>
              <w:jc w:val="center"/>
            </w:pPr>
            <w:r>
              <w:rPr>
                <w:rFonts w:hint="eastAsia" w:cs="宋体"/>
              </w:rPr>
              <w:t>初步验收情况</w:t>
            </w:r>
          </w:p>
        </w:tc>
        <w:tc>
          <w:tcPr>
            <w:tcW w:w="8332" w:type="dxa"/>
            <w:gridSpan w:val="13"/>
            <w:tcBorders>
              <w:top w:val="single" w:color="auto" w:sz="12" w:space="0"/>
              <w:bottom w:val="single" w:color="000000" w:sz="12" w:space="0"/>
              <w:right w:val="single" w:color="auto" w:sz="12" w:space="0"/>
            </w:tcBorders>
            <w:vAlign w:val="center"/>
          </w:tcPr>
          <w:p>
            <w:pPr>
              <w:spacing w:line="240" w:lineRule="atLeast"/>
              <w:rPr>
                <w:rFonts w:ascii="宋体" w:cs="宋体"/>
              </w:rPr>
            </w:pPr>
            <w:r>
              <w:rPr>
                <w:rFonts w:hint="eastAsia" w:ascii="宋体" w:hAnsi="宋体" w:cs="宋体"/>
              </w:rPr>
              <w:t>□通过验收</w:t>
            </w:r>
            <w:r>
              <w:rPr>
                <w:rFonts w:ascii="宋体" w:hAnsi="宋体" w:cs="宋体"/>
              </w:rPr>
              <w:t xml:space="preserve">                  </w:t>
            </w:r>
            <w:r>
              <w:rPr>
                <w:rFonts w:hint="eastAsia" w:ascii="宋体" w:hAnsi="宋体" w:cs="宋体"/>
              </w:rPr>
              <w:t>□整改后再组织验收</w:t>
            </w:r>
          </w:p>
          <w:p>
            <w:pPr>
              <w:spacing w:line="240" w:lineRule="atLeast"/>
              <w:rPr>
                <w:rFonts w:ascii="宋体" w:cs="宋体"/>
              </w:rPr>
            </w:pPr>
          </w:p>
          <w:p>
            <w:pPr>
              <w:adjustRightInd w:val="0"/>
              <w:snapToGrid w:val="0"/>
            </w:pPr>
            <w:r>
              <w:rPr>
                <w:rFonts w:hint="eastAsia" w:ascii="宋体" w:hAnsi="宋体" w:cs="宋体"/>
              </w:rPr>
              <w:t>□不通过验收</w:t>
            </w:r>
            <w:r>
              <w:rPr>
                <w:rFonts w:ascii="宋体" w:hAnsi="宋体" w:cs="宋体"/>
              </w:rPr>
              <w:t xml:space="preserve">  </w:t>
            </w:r>
            <w:r>
              <w:rPr>
                <w:rFonts w:hint="eastAsia" w:ascii="宋体" w:hAnsi="宋体" w:cs="宋体"/>
              </w:rPr>
              <w:t>索赔要求</w:t>
            </w:r>
            <w:r>
              <w:rPr>
                <w:rFonts w:ascii="宋体" w:hAnsi="宋体" w:cs="宋体"/>
              </w:rPr>
              <w:t xml:space="preserve">      </w:t>
            </w:r>
            <w:r>
              <w:rPr>
                <w:rFonts w:hint="eastAsia" w:ascii="宋体" w:hAnsi="宋体" w:cs="宋体"/>
              </w:rPr>
              <w:t>□其他结论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63" w:hRule="atLeast"/>
        </w:trPr>
        <w:tc>
          <w:tcPr>
            <w:tcW w:w="1297" w:type="dxa"/>
            <w:gridSpan w:val="3"/>
            <w:tcBorders>
              <w:top w:val="single" w:color="000000" w:sz="12" w:space="0"/>
              <w:left w:val="single" w:color="000000" w:sz="12" w:space="0"/>
              <w:bottom w:val="single" w:color="000000" w:sz="12" w:space="0"/>
              <w:right w:val="single" w:color="000000" w:sz="12" w:space="0"/>
            </w:tcBorders>
            <w:vAlign w:val="center"/>
          </w:tcPr>
          <w:p>
            <w:pPr>
              <w:spacing w:line="240" w:lineRule="atLeast"/>
              <w:jc w:val="center"/>
              <w:rPr>
                <w:rFonts w:ascii="宋体" w:cs="宋体"/>
              </w:rPr>
            </w:pPr>
            <w:r>
              <w:rPr>
                <w:rFonts w:hint="eastAsia" w:ascii="宋体" w:hAnsi="宋体" w:cs="宋体"/>
              </w:rPr>
              <w:t>验收小组</w:t>
            </w:r>
          </w:p>
          <w:p>
            <w:pPr>
              <w:spacing w:line="240" w:lineRule="atLeast"/>
              <w:jc w:val="center"/>
              <w:rPr>
                <w:rFonts w:ascii="宋体" w:cs="宋体"/>
              </w:rPr>
            </w:pPr>
            <w:r>
              <w:rPr>
                <w:rFonts w:hint="eastAsia" w:ascii="宋体" w:hAnsi="宋体" w:cs="宋体"/>
              </w:rPr>
              <w:t>成员签字</w:t>
            </w:r>
          </w:p>
        </w:tc>
        <w:tc>
          <w:tcPr>
            <w:tcW w:w="2966" w:type="dxa"/>
            <w:gridSpan w:val="4"/>
            <w:tcBorders>
              <w:top w:val="single" w:color="000000" w:sz="12" w:space="0"/>
              <w:left w:val="single" w:color="000000" w:sz="12" w:space="0"/>
              <w:bottom w:val="single" w:color="000000" w:sz="12" w:space="0"/>
              <w:right w:val="single" w:color="000000" w:sz="12" w:space="0"/>
            </w:tcBorders>
            <w:vAlign w:val="center"/>
          </w:tcPr>
          <w:p>
            <w:pPr>
              <w:spacing w:line="240" w:lineRule="atLeast"/>
              <w:jc w:val="center"/>
              <w:rPr>
                <w:rFonts w:ascii="宋体" w:cs="宋体"/>
              </w:rPr>
            </w:pPr>
          </w:p>
        </w:tc>
        <w:tc>
          <w:tcPr>
            <w:tcW w:w="2199" w:type="dxa"/>
            <w:gridSpan w:val="3"/>
            <w:tcBorders>
              <w:top w:val="single" w:color="000000" w:sz="12" w:space="0"/>
              <w:left w:val="single" w:color="000000" w:sz="12" w:space="0"/>
              <w:bottom w:val="single" w:color="000000" w:sz="12" w:space="0"/>
              <w:right w:val="single" w:color="000000" w:sz="12" w:space="0"/>
            </w:tcBorders>
            <w:vAlign w:val="center"/>
          </w:tcPr>
          <w:p>
            <w:pPr>
              <w:spacing w:line="240" w:lineRule="atLeast"/>
              <w:rPr>
                <w:rFonts w:ascii="宋体" w:cs="宋体"/>
              </w:rPr>
            </w:pPr>
            <w:r>
              <w:rPr>
                <w:rFonts w:ascii="宋体" w:hAnsi="宋体" w:cs="宋体"/>
              </w:rPr>
              <w:t xml:space="preserve">    </w:t>
            </w:r>
            <w:r>
              <w:rPr>
                <w:rFonts w:hint="eastAsia" w:ascii="宋体" w:hAnsi="宋体" w:cs="宋体"/>
              </w:rPr>
              <w:t>供货商</w:t>
            </w:r>
          </w:p>
          <w:p>
            <w:pPr>
              <w:spacing w:line="240" w:lineRule="atLeast"/>
              <w:jc w:val="center"/>
              <w:rPr>
                <w:rFonts w:ascii="宋体" w:cs="宋体"/>
              </w:rPr>
            </w:pPr>
            <w:r>
              <w:rPr>
                <w:rFonts w:hint="eastAsia" w:ascii="宋体" w:hAnsi="宋体" w:cs="宋体"/>
              </w:rPr>
              <w:t>授权代表签字</w:t>
            </w:r>
          </w:p>
        </w:tc>
        <w:tc>
          <w:tcPr>
            <w:tcW w:w="2391" w:type="dxa"/>
            <w:gridSpan w:val="4"/>
            <w:tcBorders>
              <w:top w:val="single" w:color="000000" w:sz="12" w:space="0"/>
              <w:left w:val="single" w:color="000000" w:sz="12" w:space="0"/>
              <w:bottom w:val="single" w:color="000000" w:sz="12" w:space="0"/>
              <w:right w:val="single" w:color="000000" w:sz="12" w:space="0"/>
            </w:tcBorders>
            <w:vAlign w:val="center"/>
          </w:tcPr>
          <w:p>
            <w:pPr>
              <w:spacing w:line="240" w:lineRule="atLeast"/>
              <w:jc w:val="center"/>
              <w:rPr>
                <w:rFonts w:ascii="宋体" w:cs="宋体"/>
              </w:rPr>
            </w:pPr>
          </w:p>
        </w:tc>
      </w:tr>
    </w:tbl>
    <w:p>
      <w:pPr>
        <w:snapToGrid w:val="0"/>
        <w:spacing w:line="360" w:lineRule="auto"/>
        <w:rPr>
          <w:rFonts w:ascii="宋体"/>
          <w:sz w:val="28"/>
          <w:szCs w:val="28"/>
        </w:rPr>
      </w:pPr>
      <w:r>
        <w:rPr>
          <w:rFonts w:hint="eastAsia" w:ascii="宋体" w:hAnsi="宋体" w:cs="宋体"/>
          <w:sz w:val="28"/>
          <w:szCs w:val="28"/>
        </w:rPr>
        <w:br w:type="page"/>
      </w:r>
      <w:r>
        <w:rPr>
          <w:rFonts w:hint="eastAsia" w:ascii="宋体" w:hAnsi="宋体" w:cs="宋体"/>
          <w:b/>
          <w:bCs/>
          <w:sz w:val="28"/>
          <w:szCs w:val="28"/>
        </w:rPr>
        <w:t>附</w:t>
      </w:r>
      <w:r>
        <w:rPr>
          <w:rFonts w:ascii="宋体" w:hAnsi="宋体" w:cs="宋体"/>
          <w:b/>
          <w:bCs/>
          <w:sz w:val="28"/>
          <w:szCs w:val="28"/>
        </w:rPr>
        <w:t>5</w:t>
      </w:r>
      <w:r>
        <w:rPr>
          <w:rFonts w:hint="eastAsia" w:ascii="宋体" w:hAnsi="宋体" w:cs="宋体"/>
          <w:b/>
          <w:bCs/>
          <w:sz w:val="28"/>
          <w:szCs w:val="28"/>
        </w:rPr>
        <w:t>：</w:t>
      </w:r>
      <w:r>
        <w:rPr>
          <w:rFonts w:ascii="宋体" w:hAnsi="宋体" w:cs="宋体"/>
          <w:b/>
          <w:bCs/>
          <w:sz w:val="28"/>
          <w:szCs w:val="28"/>
        </w:rPr>
        <w:t xml:space="preserve">  </w:t>
      </w:r>
      <w:r>
        <w:rPr>
          <w:rFonts w:ascii="宋体" w:hAnsi="宋体" w:cs="宋体"/>
          <w:sz w:val="28"/>
          <w:szCs w:val="28"/>
        </w:rPr>
        <w:t xml:space="preserve">              </w:t>
      </w:r>
    </w:p>
    <w:p>
      <w:pPr>
        <w:snapToGrid w:val="0"/>
        <w:spacing w:line="360" w:lineRule="auto"/>
        <w:rPr>
          <w:rFonts w:ascii="宋体" w:hAnsi="宋体" w:cs="宋体"/>
          <w:b/>
          <w:bCs/>
          <w:sz w:val="36"/>
          <w:szCs w:val="36"/>
        </w:rPr>
      </w:pPr>
      <w:r>
        <w:rPr>
          <w:rFonts w:ascii="宋体" w:hAnsi="宋体" w:cs="宋体"/>
          <w:b/>
          <w:bCs/>
          <w:sz w:val="28"/>
          <w:szCs w:val="28"/>
        </w:rPr>
        <w:t xml:space="preserve">                      </w:t>
      </w:r>
      <w:r>
        <w:rPr>
          <w:rFonts w:hint="eastAsia" w:ascii="宋体" w:hAnsi="宋体" w:cs="宋体"/>
          <w:b/>
          <w:bCs/>
          <w:sz w:val="36"/>
          <w:szCs w:val="36"/>
        </w:rPr>
        <w:t>中标通知书</w:t>
      </w:r>
      <w:r>
        <w:rPr>
          <w:rFonts w:ascii="宋体" w:hAnsi="宋体" w:cs="宋体"/>
          <w:b/>
          <w:bCs/>
          <w:sz w:val="36"/>
          <w:szCs w:val="36"/>
        </w:rPr>
        <w:t xml:space="preserve"> </w:t>
      </w:r>
    </w:p>
    <w:p>
      <w:pPr>
        <w:pStyle w:val="2"/>
        <w:rPr>
          <w:rFonts w:hint="eastAsia" w:eastAsia="宋体"/>
          <w:lang w:eastAsia="zh-CN"/>
        </w:rPr>
      </w:pPr>
      <w:r>
        <w:rPr>
          <w:rFonts w:hint="eastAsia" w:eastAsia="宋体"/>
          <w:lang w:eastAsia="zh-CN"/>
        </w:rPr>
        <w:drawing>
          <wp:inline distT="0" distB="0" distL="114300" distR="114300">
            <wp:extent cx="5271135" cy="7448550"/>
            <wp:effectExtent l="0" t="0" r="5715" b="0"/>
            <wp:docPr id="2" name="图片 2" descr="img20210108_1728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20210108_17281364"/>
                    <pic:cNvPicPr>
                      <a:picLocks noChangeAspect="1"/>
                    </pic:cNvPicPr>
                  </pic:nvPicPr>
                  <pic:blipFill>
                    <a:blip r:embed="rId5"/>
                    <a:stretch>
                      <a:fillRect/>
                    </a:stretch>
                  </pic:blipFill>
                  <pic:spPr>
                    <a:xfrm>
                      <a:off x="0" y="0"/>
                      <a:ext cx="5271135" cy="7448550"/>
                    </a:xfrm>
                    <a:prstGeom prst="rect">
                      <a:avLst/>
                    </a:prstGeom>
                  </pic:spPr>
                </pic:pic>
              </a:graphicData>
            </a:graphic>
          </wp:inline>
        </w:drawing>
      </w:r>
    </w:p>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FFB31"/>
    <w:multiLevelType w:val="singleLevel"/>
    <w:tmpl w:val="8A0FFB31"/>
    <w:lvl w:ilvl="0" w:tentative="0">
      <w:start w:val="7"/>
      <w:numFmt w:val="decimal"/>
      <w:suff w:val="nothing"/>
      <w:lvlText w:val="%1、"/>
      <w:lvlJc w:val="left"/>
    </w:lvl>
  </w:abstractNum>
  <w:abstractNum w:abstractNumId="1">
    <w:nsid w:val="916560B1"/>
    <w:multiLevelType w:val="singleLevel"/>
    <w:tmpl w:val="916560B1"/>
    <w:lvl w:ilvl="0" w:tentative="0">
      <w:start w:val="11"/>
      <w:numFmt w:val="decimal"/>
      <w:suff w:val="nothing"/>
      <w:lvlText w:val="%1、"/>
      <w:lvlJc w:val="left"/>
    </w:lvl>
  </w:abstractNum>
  <w:abstractNum w:abstractNumId="2">
    <w:nsid w:val="9DE86DE8"/>
    <w:multiLevelType w:val="singleLevel"/>
    <w:tmpl w:val="9DE86DE8"/>
    <w:lvl w:ilvl="0" w:tentative="0">
      <w:start w:val="4"/>
      <w:numFmt w:val="decimal"/>
      <w:suff w:val="nothing"/>
      <w:lvlText w:val="%1、"/>
      <w:lvlJc w:val="left"/>
    </w:lvl>
  </w:abstractNum>
  <w:abstractNum w:abstractNumId="3">
    <w:nsid w:val="C84F9C37"/>
    <w:multiLevelType w:val="singleLevel"/>
    <w:tmpl w:val="C84F9C37"/>
    <w:lvl w:ilvl="0" w:tentative="0">
      <w:start w:val="2"/>
      <w:numFmt w:val="decimal"/>
      <w:suff w:val="nothing"/>
      <w:lvlText w:val="%1、"/>
      <w:lvlJc w:val="left"/>
    </w:lvl>
  </w:abstractNum>
  <w:abstractNum w:abstractNumId="4">
    <w:nsid w:val="5536FE69"/>
    <w:multiLevelType w:val="singleLevel"/>
    <w:tmpl w:val="5536FE69"/>
    <w:lvl w:ilvl="0" w:tentative="0">
      <w:start w:val="7"/>
      <w:numFmt w:val="chineseCounting"/>
      <w:suff w:val="nothing"/>
      <w:lvlText w:val="%1、"/>
      <w:lvlJc w:val="left"/>
    </w:lvl>
  </w:abstractNum>
  <w:abstractNum w:abstractNumId="5">
    <w:nsid w:val="5FFBC9EE"/>
    <w:multiLevelType w:val="singleLevel"/>
    <w:tmpl w:val="5FFBC9EE"/>
    <w:lvl w:ilvl="0" w:tentative="0">
      <w:start w:val="6"/>
      <w:numFmt w:val="decimal"/>
      <w:suff w:val="nothing"/>
      <w:lvlText w:val="%1、"/>
      <w:lvlJc w:val="left"/>
    </w:lvl>
  </w:abstractNum>
  <w:abstractNum w:abstractNumId="6">
    <w:nsid w:val="5FFD0580"/>
    <w:multiLevelType w:val="singleLevel"/>
    <w:tmpl w:val="5FFD0580"/>
    <w:lvl w:ilvl="0" w:tentative="0">
      <w:start w:val="1"/>
      <w:numFmt w:val="decimal"/>
      <w:suff w:val="nothing"/>
      <w:lvlText w:val="%1、"/>
      <w:lvlJc w:val="left"/>
    </w:lvl>
  </w:abstractNum>
  <w:abstractNum w:abstractNumId="7">
    <w:nsid w:val="7D4C2BAA"/>
    <w:multiLevelType w:val="multilevel"/>
    <w:tmpl w:val="7D4C2BA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108C0"/>
    <w:rsid w:val="08302B22"/>
    <w:rsid w:val="18A113E8"/>
    <w:rsid w:val="34AD48BE"/>
    <w:rsid w:val="45A92369"/>
    <w:rsid w:val="4AF108C0"/>
    <w:rsid w:val="53475AB6"/>
    <w:rsid w:val="53DF34C0"/>
    <w:rsid w:val="56DA526A"/>
    <w:rsid w:val="5AB957A6"/>
    <w:rsid w:val="5C9C1BFB"/>
    <w:rsid w:val="6B6829EB"/>
    <w:rsid w:val="6F7FF7B3"/>
    <w:rsid w:val="71FDB625"/>
    <w:rsid w:val="77221816"/>
    <w:rsid w:val="7C9C0245"/>
    <w:rsid w:val="99EF418D"/>
    <w:rsid w:val="DFBDDBF8"/>
    <w:rsid w:val="DFDCDDB2"/>
    <w:rsid w:val="EFEE277A"/>
    <w:rsid w:val="FEB4E4D3"/>
    <w:rsid w:val="FFF79E97"/>
    <w:rsid w:val="FFFF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1"/>
      <w:sz w:val="21"/>
      <w:szCs w:val="24"/>
      <w:lang w:val="en-US" w:eastAsia="zh-CN" w:bidi="ar-SA"/>
    </w:rPr>
  </w:style>
  <w:style w:type="paragraph" w:styleId="4">
    <w:name w:val="heading 1"/>
    <w:basedOn w:val="1"/>
    <w:next w:val="1"/>
    <w:link w:val="17"/>
    <w:qFormat/>
    <w:uiPriority w:val="0"/>
    <w:pPr>
      <w:keepNext/>
      <w:keepLines/>
      <w:spacing w:beforeLines="0" w:beforeAutospacing="0" w:afterLines="0" w:afterAutospacing="0" w:line="480" w:lineRule="auto"/>
      <w:jc w:val="center"/>
      <w:outlineLvl w:val="0"/>
    </w:pPr>
    <w:rPr>
      <w:rFonts w:ascii="Times New Roman" w:hAnsi="Times New Roman" w:eastAsia="宋体" w:cs="Times New Roman"/>
      <w:b/>
      <w:kern w:val="44"/>
      <w:sz w:val="30"/>
    </w:rPr>
  </w:style>
  <w:style w:type="paragraph" w:styleId="5">
    <w:name w:val="heading 2"/>
    <w:basedOn w:val="1"/>
    <w:next w:val="1"/>
    <w:unhideWhenUsed/>
    <w:qFormat/>
    <w:uiPriority w:val="0"/>
    <w:pPr>
      <w:spacing w:line="360" w:lineRule="auto"/>
      <w:jc w:val="center"/>
      <w:outlineLvl w:val="1"/>
    </w:pPr>
    <w:rPr>
      <w:rFonts w:ascii="Arial" w:hAnsi="Arial" w:eastAsia="宋体" w:cs="Times New Roman"/>
      <w:b/>
      <w:bCs/>
      <w:kern w:val="1"/>
      <w:sz w:val="32"/>
      <w:szCs w:val="28"/>
    </w:rPr>
  </w:style>
  <w:style w:type="paragraph" w:styleId="6">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spacing w:after="0" w:line="240" w:lineRule="auto"/>
      <w:jc w:val="both"/>
    </w:pPr>
    <w:rPr>
      <w:rFonts w:ascii="Times New Roman" w:hAnsi="Times New Roman" w:eastAsia="宋体" w:cs="宋体"/>
      <w:kern w:val="1"/>
      <w:sz w:val="24"/>
      <w:szCs w:val="24"/>
      <w:lang w:val="en-US" w:eastAsia="zh-CN" w:bidi="ar-SA"/>
    </w:rPr>
  </w:style>
  <w:style w:type="paragraph" w:styleId="3">
    <w:name w:val="footnote text"/>
    <w:basedOn w:val="1"/>
    <w:qFormat/>
    <w:uiPriority w:val="0"/>
    <w:pPr>
      <w:widowControl w:val="0"/>
      <w:adjustRightInd/>
      <w:snapToGrid/>
      <w:spacing w:after="0"/>
      <w:jc w:val="both"/>
    </w:pPr>
    <w:rPr>
      <w:rFonts w:ascii="Times New Roman" w:hAnsi="Times New Roman" w:eastAsia="宋体" w:cs="Times New Roman"/>
      <w:kern w:val="1"/>
      <w:sz w:val="18"/>
      <w:szCs w:val="18"/>
    </w:rPr>
  </w:style>
  <w:style w:type="paragraph" w:styleId="7">
    <w:name w:val="Body Text"/>
    <w:basedOn w:val="1"/>
    <w:next w:val="8"/>
    <w:qFormat/>
    <w:uiPriority w:val="0"/>
    <w:pPr>
      <w:widowControl w:val="0"/>
      <w:adjustRightInd/>
      <w:snapToGrid/>
      <w:spacing w:after="0"/>
      <w:jc w:val="both"/>
    </w:pPr>
    <w:rPr>
      <w:rFonts w:ascii="Times New Roman" w:hAnsi="Times New Roman" w:eastAsia="宋体" w:cs="Times New Roman"/>
      <w:kern w:val="1"/>
      <w:sz w:val="21"/>
      <w:szCs w:val="21"/>
    </w:rPr>
  </w:style>
  <w:style w:type="paragraph" w:customStyle="1" w:styleId="8">
    <w:name w:val="style4"/>
    <w:basedOn w:val="1"/>
    <w:next w:val="9"/>
    <w:qFormat/>
    <w:uiPriority w:val="0"/>
    <w:pPr>
      <w:adjustRightInd/>
      <w:snapToGrid/>
      <w:spacing w:after="0"/>
      <w:jc w:val="both"/>
    </w:pPr>
    <w:rPr>
      <w:rFonts w:ascii="Times New Roman" w:hAnsi="Times New Roman" w:eastAsia="宋体" w:cs="Times New Roman"/>
      <w:kern w:val="1"/>
      <w:sz w:val="18"/>
      <w:szCs w:val="24"/>
    </w:rPr>
  </w:style>
  <w:style w:type="paragraph" w:customStyle="1" w:styleId="9">
    <w:name w:val="2"/>
    <w:next w:val="1"/>
    <w:qFormat/>
    <w:uiPriority w:val="0"/>
    <w:pPr>
      <w:widowControl w:val="0"/>
      <w:spacing w:after="0" w:line="240" w:lineRule="auto"/>
      <w:jc w:val="both"/>
    </w:pPr>
    <w:rPr>
      <w:rFonts w:ascii="Times New Roman" w:hAnsi="Times New Roman" w:eastAsia="宋体" w:cs="Times New Roman"/>
      <w:sz w:val="21"/>
      <w:szCs w:val="22"/>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3">
    <w:name w:val="Emphasis"/>
    <w:basedOn w:val="12"/>
    <w:qFormat/>
    <w:uiPriority w:val="0"/>
    <w:rPr>
      <w:i/>
    </w:rPr>
  </w:style>
  <w:style w:type="character" w:styleId="14">
    <w:name w:val="Hyperlink"/>
    <w:basedOn w:val="12"/>
    <w:qFormat/>
    <w:uiPriority w:val="0"/>
    <w:rPr>
      <w:color w:val="0000FF"/>
      <w:u w:val="single"/>
    </w:rPr>
  </w:style>
  <w:style w:type="table" w:styleId="16">
    <w:name w:val="Table Grid"/>
    <w:basedOn w:val="15"/>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标题 1 Char"/>
    <w:link w:val="4"/>
    <w:qFormat/>
    <w:uiPriority w:val="0"/>
    <w:rPr>
      <w:rFonts w:ascii="Times New Roman" w:hAnsi="Times New Roman" w:eastAsia="宋体" w:cs="Times New Roman"/>
      <w:b/>
      <w:kern w:val="44"/>
      <w:sz w:val="30"/>
    </w:rPr>
  </w:style>
  <w:style w:type="character" w:customStyle="1" w:styleId="18">
    <w:name w:val="font11"/>
    <w:basedOn w:val="12"/>
    <w:qFormat/>
    <w:uiPriority w:val="0"/>
    <w:rPr>
      <w:rFonts w:hint="eastAsia" w:ascii="宋体" w:hAnsi="宋体" w:eastAsia="宋体" w:cs="宋体"/>
      <w:color w:val="000000"/>
      <w:sz w:val="22"/>
      <w:szCs w:val="22"/>
      <w:u w:val="none"/>
    </w:rPr>
  </w:style>
  <w:style w:type="character" w:customStyle="1" w:styleId="19">
    <w:name w:val="font01"/>
    <w:basedOn w:val="12"/>
    <w:qFormat/>
    <w:uiPriority w:val="0"/>
    <w:rPr>
      <w:rFonts w:hint="eastAsia" w:ascii="宋体" w:hAnsi="宋体" w:eastAsia="宋体" w:cs="宋体"/>
      <w:color w:val="000000"/>
      <w:sz w:val="24"/>
      <w:szCs w:val="24"/>
      <w:u w:val="none"/>
    </w:rPr>
  </w:style>
  <w:style w:type="paragraph" w:customStyle="1" w:styleId="20">
    <w:name w:val="CM8"/>
    <w:basedOn w:val="1"/>
    <w:next w:val="1"/>
    <w:qFormat/>
    <w:uiPriority w:val="0"/>
    <w:pPr>
      <w:widowControl w:val="0"/>
      <w:autoSpaceDE w:val="0"/>
      <w:autoSpaceDN w:val="0"/>
      <w:snapToGrid/>
      <w:spacing w:after="0" w:line="313" w:lineRule="atLeast"/>
    </w:pPr>
    <w:rPr>
      <w:rFonts w:ascii="宋体" w:hAnsi="Calibri" w:eastAsia="宋体" w:cs="Times New Roman"/>
      <w:sz w:val="24"/>
      <w:szCs w:val="24"/>
    </w:rPr>
  </w:style>
  <w:style w:type="paragraph" w:customStyle="1" w:styleId="21">
    <w:name w:val="List Paragraph"/>
    <w:basedOn w:val="1"/>
    <w:qFormat/>
    <w:uiPriority w:val="1"/>
    <w:pPr>
      <w:widowControl w:val="0"/>
      <w:adjustRightInd/>
      <w:snapToGrid/>
      <w:spacing w:after="0"/>
      <w:ind w:left="676"/>
      <w:jc w:val="both"/>
    </w:pPr>
    <w:rPr>
      <w:rFonts w:ascii="宋体" w:hAnsi="宋体" w:eastAsia="宋体" w:cs="宋体"/>
      <w:kern w:val="1"/>
      <w:sz w:val="21"/>
      <w:szCs w:val="24"/>
      <w:lang w:val="zh-CN" w:bidi="zh-C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image" Target="media/image1.jpeg"/>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Office_3.1.1.4956_F1E327BC-269C-435d-A152-05C5408002CA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2021-01-10T21:28:00Z</dcterms:created>
  <dc:creator>Administrator</dc:creator>
  <lastModifiedBy>beijixing</lastModifiedBy>
  <dcterms:modified xsi:type="dcterms:W3CDTF">2021-02-28T23:00:12Z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