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outlineLvl w:val="0"/>
        <w:rPr>
          <w:rFonts w:ascii="宋体" w:hAnsi="宋体" w:cs="宋体"/>
          <w:b/>
          <w:bCs/>
          <w:sz w:val="28"/>
          <w:szCs w:val="28"/>
        </w:rPr>
      </w:pPr>
      <w:r>
        <w:rPr>
          <w:rFonts w:hint="eastAsia" w:ascii="宋体" w:hAnsi="宋体"/>
          <w:b/>
          <w:sz w:val="28"/>
          <w:szCs w:val="28"/>
        </w:rPr>
        <w:t xml:space="preserve">                        合同编号：</w:t>
      </w:r>
      <w:r>
        <w:rPr>
          <w:rFonts w:hint="eastAsia" w:ascii="宋体" w:hAnsi="宋体"/>
          <w:bCs/>
          <w:sz w:val="28"/>
          <w:szCs w:val="28"/>
          <w:u w:val="single"/>
        </w:rPr>
        <w:t>（郑大-询价-2021-0022）</w:t>
      </w:r>
    </w:p>
    <w:p>
      <w:pPr>
        <w:snapToGrid w:val="0"/>
        <w:spacing w:line="500" w:lineRule="exact"/>
        <w:jc w:val="center"/>
        <w:outlineLvl w:val="0"/>
        <w:rPr>
          <w:rFonts w:ascii="宋体" w:hAnsi="宋体" w:cs="宋体"/>
          <w:b/>
          <w:bCs/>
          <w:sz w:val="36"/>
          <w:szCs w:val="36"/>
        </w:rPr>
      </w:pPr>
      <w:r>
        <w:rPr>
          <w:rFonts w:hint="eastAsia" w:ascii="宋体" w:hAnsi="宋体" w:cs="宋体"/>
          <w:b/>
          <w:bCs/>
          <w:sz w:val="36"/>
          <w:szCs w:val="36"/>
        </w:rPr>
        <w:t>郑州大学政府采购货物合同</w:t>
      </w:r>
    </w:p>
    <w:p>
      <w:pPr>
        <w:spacing w:line="500" w:lineRule="exact"/>
        <w:ind w:firstLine="4586" w:firstLineChars="1911"/>
        <w:rPr>
          <w:rFonts w:ascii="宋体" w:cs="Times New Roman"/>
          <w:b/>
          <w:bCs/>
          <w:sz w:val="24"/>
          <w:szCs w:val="24"/>
        </w:rPr>
      </w:pPr>
    </w:p>
    <w:p>
      <w:pPr>
        <w:adjustRightInd w:val="0"/>
        <w:snapToGrid w:val="0"/>
        <w:spacing w:line="540" w:lineRule="exact"/>
        <w:rPr>
          <w:rFonts w:ascii="宋体" w:cs="Times New Roman"/>
          <w:b/>
          <w:bCs/>
          <w:sz w:val="28"/>
          <w:szCs w:val="28"/>
        </w:rPr>
      </w:pPr>
      <w:r>
        <w:rPr>
          <w:rFonts w:hint="eastAsia" w:ascii="宋体" w:hAnsi="宋体" w:cs="宋体"/>
          <w:b/>
          <w:bCs/>
          <w:sz w:val="28"/>
          <w:szCs w:val="28"/>
        </w:rPr>
        <w:t>甲方：</w:t>
      </w:r>
      <w:r>
        <w:rPr>
          <w:rFonts w:hint="eastAsia" w:ascii="宋体" w:hAnsi="宋体" w:cs="宋体"/>
          <w:b/>
          <w:bCs/>
          <w:sz w:val="28"/>
          <w:szCs w:val="28"/>
          <w:u w:val="single"/>
        </w:rPr>
        <w:t xml:space="preserve">    郑州大学       </w:t>
      </w:r>
    </w:p>
    <w:p>
      <w:pPr>
        <w:adjustRightInd w:val="0"/>
        <w:snapToGrid w:val="0"/>
        <w:spacing w:line="540" w:lineRule="exact"/>
        <w:rPr>
          <w:rFonts w:ascii="宋体" w:cs="Times New Roman"/>
          <w:b/>
          <w:bCs/>
          <w:sz w:val="24"/>
          <w:szCs w:val="24"/>
        </w:rPr>
      </w:pPr>
      <w:r>
        <w:rPr>
          <w:rFonts w:hint="eastAsia" w:ascii="宋体" w:hAnsi="宋体" w:cs="宋体"/>
          <w:b/>
          <w:bCs/>
          <w:sz w:val="28"/>
          <w:szCs w:val="28"/>
        </w:rPr>
        <w:t>乙方：</w:t>
      </w:r>
      <w:r>
        <w:rPr>
          <w:rFonts w:hint="eastAsia" w:ascii="宋体" w:hAnsi="宋体" w:cs="宋体"/>
          <w:b/>
          <w:bCs/>
          <w:sz w:val="28"/>
          <w:szCs w:val="28"/>
          <w:u w:val="single"/>
        </w:rPr>
        <w:t>厦门外图集团有限公司</w:t>
      </w:r>
    </w:p>
    <w:p>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本合同于</w:t>
      </w:r>
      <w:r>
        <w:rPr>
          <w:rFonts w:hint="eastAsia" w:ascii="宋体" w:hAnsi="宋体" w:cs="宋体"/>
          <w:sz w:val="24"/>
          <w:szCs w:val="24"/>
          <w:u w:val="single"/>
        </w:rPr>
        <w:t xml:space="preserve"> 20</w:t>
      </w:r>
      <w:r>
        <w:rPr>
          <w:rFonts w:hint="eastAsia" w:ascii="宋体" w:hAnsi="宋体" w:cs="宋体"/>
          <w:sz w:val="24"/>
          <w:szCs w:val="24"/>
          <w:u w:val="single"/>
          <w:lang w:val="en-US" w:eastAsia="zh-CN"/>
        </w:rPr>
        <w:t>21</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lang w:val="en-US" w:eastAsia="zh-CN"/>
        </w:rPr>
        <w:t xml:space="preserve"> 11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 xml:space="preserve"> </w:t>
      </w:r>
      <w:r>
        <w:rPr>
          <w:rFonts w:hint="eastAsia" w:ascii="宋体" w:hAnsi="宋体" w:cs="宋体"/>
          <w:sz w:val="24"/>
          <w:szCs w:val="24"/>
        </w:rPr>
        <w:t>日由甲乙双方按下述条款签署。</w:t>
      </w:r>
    </w:p>
    <w:p>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 xml:space="preserve">在甲方为获得图书实物和伴随服务实施公开招标情况下，乙方参加了公开招标。通过公开招标，甲方接受了乙方以折扣率 </w:t>
      </w:r>
      <w:r>
        <w:rPr>
          <w:rFonts w:hint="eastAsia" w:ascii="宋体" w:hAnsi="宋体" w:cs="宋体"/>
          <w:sz w:val="24"/>
          <w:szCs w:val="24"/>
          <w:u w:val="single"/>
        </w:rPr>
        <w:t>90%</w:t>
      </w:r>
      <w:bookmarkStart w:id="0" w:name="_GoBack"/>
      <w:bookmarkEnd w:id="0"/>
      <w:r>
        <w:rPr>
          <w:rFonts w:hint="eastAsia" w:ascii="宋体" w:hAnsi="宋体" w:cs="宋体"/>
          <w:sz w:val="24"/>
          <w:szCs w:val="24"/>
          <w:u w:val="single"/>
        </w:rPr>
        <w:t xml:space="preserve"> </w:t>
      </w:r>
      <w:r>
        <w:rPr>
          <w:rFonts w:hint="eastAsia" w:ascii="宋体" w:hAnsi="宋体" w:cs="宋体"/>
          <w:sz w:val="24"/>
          <w:szCs w:val="24"/>
        </w:rPr>
        <w:t>、总金额人民币</w:t>
      </w:r>
      <w:r>
        <w:rPr>
          <w:rFonts w:hint="eastAsia" w:ascii="宋体" w:hAnsi="宋体" w:cs="宋体"/>
          <w:sz w:val="24"/>
          <w:szCs w:val="24"/>
          <w:u w:val="single"/>
          <w:lang w:val="en-US" w:eastAsia="zh-CN"/>
        </w:rPr>
        <w:t>2</w:t>
      </w:r>
      <w:r>
        <w:rPr>
          <w:rFonts w:hint="eastAsia" w:ascii="宋体" w:hAnsi="宋体" w:cs="宋体"/>
          <w:sz w:val="24"/>
          <w:szCs w:val="24"/>
          <w:u w:val="single"/>
        </w:rPr>
        <w:t>0万元（实洋）</w:t>
      </w:r>
      <w:r>
        <w:rPr>
          <w:rFonts w:hint="eastAsia" w:ascii="宋体" w:hAnsi="宋体" w:cs="宋体"/>
          <w:sz w:val="24"/>
          <w:szCs w:val="24"/>
        </w:rPr>
        <w:t>的投标。双方以上述事实为基础，签订本合同。</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一、供货范围及分项价格表(详见附件1、附件2)</w:t>
      </w:r>
    </w:p>
    <w:p>
      <w:pPr>
        <w:spacing w:line="540" w:lineRule="exact"/>
        <w:ind w:firstLine="480" w:firstLineChars="200"/>
        <w:rPr>
          <w:rFonts w:ascii="宋体" w:hAnsi="宋体" w:cs="宋体"/>
          <w:sz w:val="24"/>
          <w:szCs w:val="24"/>
        </w:rPr>
      </w:pPr>
      <w:r>
        <w:rPr>
          <w:rFonts w:hint="eastAsia" w:ascii="宋体" w:hAnsi="宋体" w:cs="宋体"/>
          <w:sz w:val="24"/>
          <w:szCs w:val="24"/>
        </w:rPr>
        <w:t>1、本项目所采购的图书，详见附件1、附件2，此附件是合同中不可分割的部分。</w:t>
      </w:r>
    </w:p>
    <w:p>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2、合同总金额中包括图书金额、编目费、包装、运输费、加工费、保险费、装卸费、材料费、调试费、检验费及培训所需费用及税金等，甲方不再另行支付任何费用。</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二、质量及技术规格要求</w:t>
      </w:r>
    </w:p>
    <w:p>
      <w:pPr>
        <w:spacing w:line="540" w:lineRule="exact"/>
        <w:ind w:firstLine="480" w:firstLineChars="200"/>
        <w:rPr>
          <w:rFonts w:ascii="宋体" w:hAnsi="宋体" w:cs="宋体"/>
          <w:sz w:val="24"/>
          <w:szCs w:val="24"/>
        </w:rPr>
      </w:pPr>
      <w:r>
        <w:rPr>
          <w:rFonts w:hint="eastAsia" w:ascii="宋体" w:hAnsi="宋体" w:cs="宋体"/>
          <w:sz w:val="24"/>
          <w:szCs w:val="24"/>
        </w:rPr>
        <w:t>1、乙方应本着优质服务的原则，向甲方提供所订购图书，不得搭配甲方未订购的图书。图书的品种、数量及配套服务的技术标准，应符合招标文件要求，且应达到乙方投标文件中明确及承诺的相应标准。</w:t>
      </w:r>
    </w:p>
    <w:p>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2、乙方按合同要求提供全新图书（甲方有特殊要求的除外），图书质量必须符合《中华人民共和国质量法》和《图书质量管理规定》的有关规定，均为正版图书，不得出现缺页、倒页、污损、重影、开胶、倒装、裁切等质量问题，若出现上述问题，乙方必须无条件及时退换。否则，甲方有权拒付本合同金额的全部货款。</w:t>
      </w:r>
    </w:p>
    <w:p>
      <w:pPr>
        <w:spacing w:line="540" w:lineRule="exact"/>
        <w:ind w:firstLine="480" w:firstLineChars="200"/>
        <w:rPr>
          <w:rFonts w:ascii="宋体" w:hAnsi="宋体" w:cs="宋体"/>
          <w:sz w:val="24"/>
          <w:szCs w:val="24"/>
        </w:rPr>
      </w:pPr>
      <w:r>
        <w:rPr>
          <w:rFonts w:hint="eastAsia" w:ascii="宋体" w:hAnsi="宋体" w:cs="宋体"/>
          <w:sz w:val="24"/>
          <w:szCs w:val="24"/>
        </w:rPr>
        <w:t>3、乙方必须免费对所供图书提供配套服务：分类、编目、录入图书馆管理系统、盖馆藏章、贴条形码、加贴书标、安装RFID标签、加贴色标、典藏上架等。分类号以《中图法（第五版）》为准，书次号依《通用汉语著者号码表》（刘湘生主编）和《郑州大学图书馆图书索书号取号的有关规定（试用）》取号。编目严格按《普通图书著录条例》及中国高等教育文献保障系统之中文图书著录规则进行著录、数据符合CNMARC格式。</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三、包装与运输</w:t>
      </w:r>
    </w:p>
    <w:p>
      <w:pPr>
        <w:adjustRightInd w:val="0"/>
        <w:snapToGrid w:val="0"/>
        <w:spacing w:line="540" w:lineRule="exact"/>
        <w:ind w:firstLine="570"/>
        <w:rPr>
          <w:rFonts w:ascii="宋体" w:cs="Times New Roman"/>
          <w:sz w:val="24"/>
          <w:szCs w:val="24"/>
        </w:rPr>
      </w:pPr>
      <w:r>
        <w:rPr>
          <w:rFonts w:hint="eastAsia" w:ascii="宋体" w:hAnsi="宋体" w:cs="宋体"/>
          <w:sz w:val="24"/>
          <w:szCs w:val="24"/>
        </w:rPr>
        <w:t>1、图书交付使用前发生的所有与图书相关的运输、安装及安全保障事项等均由乙方负责；图书包装应符合抗震、防潮、防冻、防锈以及长途运输等要求，对由于包装不当或防护措施不力而导致的商品损坏、损失、腐蚀等损失均由乙方承担；在图书交付使用前所发生的所有与图书相关的经济纠纷及法律责任均与甲方无关。</w:t>
      </w:r>
    </w:p>
    <w:p>
      <w:pPr>
        <w:spacing w:line="540" w:lineRule="exact"/>
        <w:ind w:firstLine="480" w:firstLineChars="200"/>
        <w:rPr>
          <w:rFonts w:ascii="宋体" w:hAnsi="宋体" w:cs="宋体"/>
          <w:sz w:val="24"/>
          <w:szCs w:val="24"/>
        </w:rPr>
      </w:pPr>
      <w:r>
        <w:rPr>
          <w:rFonts w:hint="eastAsia" w:ascii="宋体" w:hAnsi="宋体" w:cs="宋体"/>
          <w:sz w:val="24"/>
          <w:szCs w:val="24"/>
        </w:rPr>
        <w:t>2、加工好的图书在经甲方全面验收合格后，乙方应按照甲方的要求将图书分别运送到指定地点（各校区的各个书库），所需费用由乙方承担。</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四、质保期与售后服务</w:t>
      </w:r>
    </w:p>
    <w:p>
      <w:pPr>
        <w:spacing w:line="540" w:lineRule="exact"/>
        <w:ind w:firstLine="480" w:firstLineChars="200"/>
        <w:rPr>
          <w:rFonts w:ascii="宋体" w:hAnsi="宋体" w:cs="宋体"/>
          <w:sz w:val="24"/>
          <w:szCs w:val="24"/>
        </w:rPr>
      </w:pPr>
      <w:r>
        <w:rPr>
          <w:rFonts w:hint="eastAsia" w:ascii="宋体" w:hAnsi="宋体" w:cs="宋体"/>
          <w:sz w:val="24"/>
          <w:szCs w:val="24"/>
        </w:rPr>
        <w:t>1、乙方所供图书免费质保五年（自验收合格并交付甲方使用之日起计算），终身维护。</w:t>
      </w:r>
    </w:p>
    <w:p>
      <w:pPr>
        <w:spacing w:line="540" w:lineRule="exact"/>
        <w:ind w:firstLine="480" w:firstLineChars="200"/>
        <w:rPr>
          <w:rFonts w:ascii="宋体" w:hAnsi="宋体" w:cs="宋体"/>
          <w:sz w:val="24"/>
          <w:szCs w:val="24"/>
        </w:rPr>
      </w:pPr>
      <w:r>
        <w:rPr>
          <w:rFonts w:hint="eastAsia" w:ascii="宋体" w:hAnsi="宋体" w:cs="宋体"/>
          <w:sz w:val="24"/>
          <w:szCs w:val="24"/>
        </w:rPr>
        <w:t>2、在质保期内，乙方接到甲方维修通知后，2小时内响应，24小时内到达甲方现场并提出方案，并安排专人尽快予以修复，否则甲方有权扣除部分或全部质保金。产品存在质量问题，甲方有权要求乙方换货。</w:t>
      </w:r>
    </w:p>
    <w:p>
      <w:pPr>
        <w:spacing w:line="540" w:lineRule="exact"/>
        <w:ind w:firstLine="480" w:firstLineChars="200"/>
        <w:rPr>
          <w:rFonts w:ascii="宋体" w:hAnsi="宋体" w:cs="宋体"/>
          <w:sz w:val="24"/>
          <w:szCs w:val="24"/>
        </w:rPr>
      </w:pPr>
      <w:r>
        <w:rPr>
          <w:rFonts w:hint="eastAsia" w:ascii="宋体" w:hAnsi="宋体" w:cs="宋体"/>
          <w:sz w:val="24"/>
          <w:szCs w:val="24"/>
        </w:rPr>
        <w:t>3、质保期外，乙方有义务接受甲方的图书修复要求，只收材料成本费，其他免费。</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五、技术服务</w:t>
      </w:r>
    </w:p>
    <w:p>
      <w:pPr>
        <w:spacing w:line="540" w:lineRule="exact"/>
        <w:ind w:firstLine="480" w:firstLineChars="200"/>
        <w:rPr>
          <w:rFonts w:ascii="宋体" w:hAnsi="宋体" w:cs="宋体"/>
          <w:sz w:val="24"/>
          <w:szCs w:val="24"/>
        </w:rPr>
      </w:pPr>
      <w:r>
        <w:rPr>
          <w:rFonts w:hint="eastAsia" w:ascii="宋体" w:hAnsi="宋体" w:cs="宋体"/>
          <w:sz w:val="24"/>
          <w:szCs w:val="24"/>
        </w:rPr>
        <w:t>1、乙方向甲方免费提供图书RFID或磁条调试、图书搬运到库、拆包及按订单编号入库验收。</w:t>
      </w:r>
    </w:p>
    <w:p>
      <w:pPr>
        <w:spacing w:line="540" w:lineRule="exact"/>
        <w:ind w:firstLine="480" w:firstLineChars="200"/>
        <w:rPr>
          <w:rFonts w:ascii="宋体" w:hAnsi="宋体" w:cs="宋体"/>
          <w:sz w:val="24"/>
          <w:szCs w:val="24"/>
        </w:rPr>
      </w:pPr>
      <w:r>
        <w:rPr>
          <w:rFonts w:hint="eastAsia" w:ascii="宋体" w:hAnsi="宋体" w:cs="宋体"/>
          <w:sz w:val="24"/>
          <w:szCs w:val="24"/>
        </w:rPr>
        <w:t>2、乙方向甲方提供准确无误的图书分类统计表、条码使用表、总括帐、图书清单（纸质三份）等。</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六、专利权</w:t>
      </w:r>
    </w:p>
    <w:p>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乙方应保证甲方在使用其所提供的产品时免受第三方提出侵犯其专利权、商标权或保护期的起诉。</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七、含税</w:t>
      </w:r>
    </w:p>
    <w:p>
      <w:pPr>
        <w:adjustRightInd w:val="0"/>
        <w:snapToGrid w:val="0"/>
        <w:spacing w:line="540" w:lineRule="exact"/>
        <w:ind w:firstLine="480" w:firstLineChars="200"/>
        <w:outlineLvl w:val="0"/>
        <w:rPr>
          <w:rFonts w:ascii="宋体" w:hAnsi="宋体" w:cs="宋体"/>
          <w:bCs/>
          <w:sz w:val="24"/>
          <w:szCs w:val="24"/>
        </w:rPr>
      </w:pPr>
      <w:r>
        <w:rPr>
          <w:rFonts w:hint="eastAsia" w:ascii="宋体" w:hAnsi="宋体" w:cs="宋体"/>
          <w:bCs/>
          <w:sz w:val="24"/>
          <w:szCs w:val="24"/>
        </w:rPr>
        <w:t>本合同采购图书所含税全部由乙方承担。</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八、交货时间、地点与方式</w:t>
      </w:r>
    </w:p>
    <w:p>
      <w:pPr>
        <w:adjustRightInd w:val="0"/>
        <w:snapToGrid w:val="0"/>
        <w:spacing w:line="540" w:lineRule="exact"/>
        <w:ind w:firstLine="480" w:firstLineChars="200"/>
        <w:rPr>
          <w:rFonts w:ascii="宋体" w:cs="Times New Roman"/>
          <w:sz w:val="24"/>
          <w:szCs w:val="24"/>
        </w:rPr>
      </w:pPr>
      <w:r>
        <w:rPr>
          <w:rFonts w:hint="eastAsia" w:ascii="宋体" w:hAnsi="宋体" w:cs="宋体"/>
          <w:sz w:val="24"/>
          <w:szCs w:val="24"/>
        </w:rPr>
        <w:t>1、乙方于</w:t>
      </w:r>
      <w:r>
        <w:rPr>
          <w:rFonts w:hint="eastAsia" w:ascii="宋体" w:hAnsi="宋体" w:cs="宋体"/>
          <w:sz w:val="24"/>
          <w:szCs w:val="24"/>
          <w:u w:val="single"/>
        </w:rPr>
        <w:t>20</w:t>
      </w:r>
      <w:r>
        <w:rPr>
          <w:rFonts w:hint="eastAsia" w:ascii="宋体" w:hAnsi="宋体" w:cs="宋体"/>
          <w:sz w:val="24"/>
          <w:szCs w:val="24"/>
          <w:u w:val="single"/>
          <w:lang w:val="en-US" w:eastAsia="zh-CN"/>
        </w:rPr>
        <w:t>21</w:t>
      </w:r>
      <w:r>
        <w:rPr>
          <w:rFonts w:hint="eastAsia" w:ascii="宋体" w:hAnsi="宋体" w:cs="宋体"/>
          <w:sz w:val="24"/>
          <w:szCs w:val="24"/>
          <w:u w:val="single"/>
        </w:rPr>
        <w:t>年</w:t>
      </w:r>
      <w:r>
        <w:rPr>
          <w:rFonts w:hint="eastAsia" w:ascii="宋体" w:hAnsi="宋体" w:cs="宋体"/>
          <w:sz w:val="24"/>
          <w:szCs w:val="24"/>
          <w:u w:val="single"/>
          <w:lang w:val="en-US" w:eastAsia="zh-CN"/>
        </w:rPr>
        <w:t xml:space="preserve"> 12 </w:t>
      </w:r>
      <w:r>
        <w:rPr>
          <w:rFonts w:hint="eastAsia" w:ascii="宋体" w:hAnsi="宋体" w:cs="宋体"/>
          <w:sz w:val="24"/>
          <w:szCs w:val="24"/>
          <w:u w:val="single"/>
        </w:rPr>
        <w:t>月</w:t>
      </w:r>
      <w:r>
        <w:rPr>
          <w:rFonts w:hint="eastAsia" w:ascii="宋体" w:hAnsi="宋体" w:cs="宋体"/>
          <w:sz w:val="24"/>
          <w:szCs w:val="24"/>
          <w:u w:val="single"/>
          <w:lang w:val="en-US" w:eastAsia="zh-CN"/>
        </w:rPr>
        <w:t xml:space="preserve"> 10 </w:t>
      </w:r>
      <w:r>
        <w:rPr>
          <w:rFonts w:hint="eastAsia" w:ascii="宋体" w:hAnsi="宋体" w:cs="宋体"/>
          <w:sz w:val="24"/>
          <w:szCs w:val="24"/>
          <w:u w:val="single"/>
        </w:rPr>
        <w:t>日</w:t>
      </w:r>
      <w:r>
        <w:rPr>
          <w:rFonts w:hint="eastAsia" w:ascii="宋体" w:hAnsi="宋体" w:cs="宋体"/>
          <w:sz w:val="24"/>
          <w:szCs w:val="24"/>
        </w:rPr>
        <w:t>之前将加工好的图书运送至甲方指定地点，并具备使用条件，未经甲方允许每推迟一天，除扣除履约保证金外，按合同总额的千分之五扣除违约金。</w:t>
      </w:r>
    </w:p>
    <w:p>
      <w:pPr>
        <w:adjustRightInd w:val="0"/>
        <w:snapToGrid w:val="0"/>
        <w:spacing w:line="540" w:lineRule="exact"/>
        <w:ind w:firstLine="480" w:firstLineChars="200"/>
        <w:rPr>
          <w:rFonts w:ascii="宋体" w:cs="Times New Roman"/>
          <w:color w:val="000000"/>
          <w:sz w:val="24"/>
          <w:szCs w:val="24"/>
        </w:rPr>
      </w:pPr>
      <w:r>
        <w:rPr>
          <w:rFonts w:ascii="宋体" w:hAnsi="宋体" w:cs="宋体"/>
          <w:sz w:val="24"/>
          <w:szCs w:val="24"/>
        </w:rPr>
        <w:t>2</w:t>
      </w:r>
      <w:r>
        <w:rPr>
          <w:rFonts w:hint="eastAsia" w:ascii="宋体" w:hAnsi="宋体" w:cs="宋体"/>
          <w:sz w:val="24"/>
          <w:szCs w:val="24"/>
        </w:rPr>
        <w:t>.乙方负责所供货物包装、运输、安装和调试，并承担所发生的</w:t>
      </w:r>
      <w:r>
        <w:rPr>
          <w:rFonts w:hint="eastAsia" w:ascii="宋体" w:hAnsi="宋体" w:cs="宋体"/>
          <w:color w:val="000000"/>
          <w:sz w:val="24"/>
          <w:szCs w:val="24"/>
        </w:rPr>
        <w:t>费用；甲方为乙方安装提供集成管理系统等便利条件。</w:t>
      </w:r>
    </w:p>
    <w:p>
      <w:pPr>
        <w:adjustRightInd w:val="0"/>
        <w:snapToGrid w:val="0"/>
        <w:spacing w:line="540" w:lineRule="exact"/>
        <w:ind w:firstLine="480" w:firstLineChars="200"/>
        <w:rPr>
          <w:rFonts w:ascii="宋体" w:cs="Times New Roman"/>
          <w:sz w:val="24"/>
          <w:szCs w:val="24"/>
        </w:rPr>
      </w:pPr>
      <w:r>
        <w:rPr>
          <w:rFonts w:ascii="宋体" w:hAnsi="宋体" w:cs="宋体"/>
          <w:color w:val="000000"/>
          <w:sz w:val="24"/>
          <w:szCs w:val="24"/>
        </w:rPr>
        <w:t>3</w:t>
      </w:r>
      <w:r>
        <w:rPr>
          <w:rFonts w:hint="eastAsia" w:ascii="宋体" w:hAnsi="宋体" w:cs="宋体"/>
          <w:color w:val="000000"/>
          <w:sz w:val="24"/>
          <w:szCs w:val="24"/>
        </w:rPr>
        <w:t>.安装过程中若发生安全事故</w:t>
      </w:r>
      <w:r>
        <w:rPr>
          <w:rFonts w:hint="eastAsia" w:ascii="宋体" w:hAnsi="宋体" w:cs="宋体"/>
          <w:sz w:val="24"/>
          <w:szCs w:val="24"/>
        </w:rPr>
        <w:t>由乙方承担。</w:t>
      </w:r>
    </w:p>
    <w:p>
      <w:pPr>
        <w:adjustRightInd w:val="0"/>
        <w:snapToGrid w:val="0"/>
        <w:spacing w:line="540" w:lineRule="exact"/>
        <w:ind w:firstLine="480" w:firstLineChars="200"/>
        <w:rPr>
          <w:rFonts w:ascii="宋体" w:cs="Times New Roman"/>
          <w:color w:val="000000"/>
          <w:sz w:val="24"/>
          <w:szCs w:val="24"/>
        </w:rPr>
      </w:pPr>
      <w:r>
        <w:rPr>
          <w:rFonts w:ascii="宋体" w:hAnsi="宋体" w:cs="宋体"/>
          <w:sz w:val="24"/>
          <w:szCs w:val="24"/>
        </w:rPr>
        <w:t>4</w:t>
      </w:r>
      <w:r>
        <w:rPr>
          <w:rFonts w:hint="eastAsia" w:ascii="宋体" w:hAnsi="宋体" w:cs="宋体"/>
          <w:sz w:val="24"/>
          <w:szCs w:val="24"/>
        </w:rPr>
        <w:t>.乙方安装人员应服从甲方的管理，遵守国家法律法规和学校相关制度，否则一切后果均由乙方承担</w:t>
      </w:r>
      <w:r>
        <w:rPr>
          <w:rFonts w:hint="eastAsia" w:ascii="宋体" w:hAnsi="宋体" w:cs="宋体"/>
          <w:color w:val="000000"/>
          <w:sz w:val="24"/>
          <w:szCs w:val="24"/>
        </w:rPr>
        <w:t>。</w:t>
      </w:r>
    </w:p>
    <w:p>
      <w:pPr>
        <w:adjustRightInd w:val="0"/>
        <w:snapToGrid w:val="0"/>
        <w:spacing w:line="540" w:lineRule="exact"/>
        <w:ind w:firstLine="480" w:firstLineChars="200"/>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.货物交付使用前，乙方负责对提供货物进行看管，并承担货物的丢失、损毁等风险。</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九、验收方式</w:t>
      </w:r>
    </w:p>
    <w:p>
      <w:pPr>
        <w:adjustRightInd w:val="0"/>
        <w:snapToGrid w:val="0"/>
        <w:spacing w:line="540" w:lineRule="exact"/>
        <w:ind w:firstLine="480" w:firstLineChars="200"/>
        <w:rPr>
          <w:rFonts w:ascii="宋体" w:hAnsi="宋体" w:cs="宋体"/>
          <w:color w:val="000000"/>
          <w:sz w:val="24"/>
          <w:szCs w:val="24"/>
        </w:rPr>
      </w:pPr>
      <w:r>
        <w:rPr>
          <w:rFonts w:ascii="宋体" w:hAnsi="宋体" w:cs="宋体"/>
          <w:sz w:val="24"/>
          <w:szCs w:val="24"/>
        </w:rPr>
        <w:t>1</w:t>
      </w:r>
      <w:r>
        <w:rPr>
          <w:rFonts w:hint="eastAsia" w:ascii="宋体" w:hAnsi="宋体" w:cs="宋体"/>
          <w:color w:val="000000"/>
          <w:sz w:val="24"/>
          <w:szCs w:val="24"/>
        </w:rPr>
        <w:t>.初步验收。甲方按合同所列质量标准、规格型号、技术参数以及数量等在现场验收，并填写初步验收单。验收时，甲方有权提出采用技术和破坏相结合的方法。</w:t>
      </w:r>
    </w:p>
    <w:p>
      <w:pPr>
        <w:adjustRightInd w:val="0"/>
        <w:snapToGrid w:val="0"/>
        <w:spacing w:line="540" w:lineRule="exact"/>
        <w:ind w:firstLine="480" w:firstLineChars="200"/>
        <w:rPr>
          <w:rFonts w:ascii="宋体" w:hAnsi="宋体" w:cs="宋体"/>
          <w:sz w:val="24"/>
          <w:szCs w:val="24"/>
        </w:rPr>
      </w:pPr>
      <w:r>
        <w:rPr>
          <w:rFonts w:hint="eastAsia" w:ascii="宋体" w:hAnsi="宋体" w:cs="宋体"/>
          <w:color w:val="000000"/>
          <w:sz w:val="24"/>
          <w:szCs w:val="24"/>
        </w:rPr>
        <w:t>乙方应向甲方移交所供图书完整的统计资料。由供需双方共同初步验收；甲乙双方</w:t>
      </w:r>
      <w:r>
        <w:rPr>
          <w:rFonts w:hint="eastAsia" w:ascii="宋体" w:hAnsi="宋体" w:cs="宋体"/>
          <w:sz w:val="24"/>
          <w:szCs w:val="24"/>
        </w:rPr>
        <w:t>如产生异议，由第三方重新进行验收。如果乙方提供的货物与合同不符，甲方有权拒绝验收，由此所产生的一切费用由乙方承担。</w:t>
      </w:r>
    </w:p>
    <w:p>
      <w:pPr>
        <w:adjustRightInd w:val="0"/>
        <w:snapToGrid w:val="0"/>
        <w:spacing w:line="54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.正式验收：依据河南省财政厅“《关于加强政府采购合同监督管理工作的通知》【豫财购（</w:t>
      </w:r>
      <w:r>
        <w:rPr>
          <w:rFonts w:ascii="宋体" w:hAnsi="宋体" w:cs="宋体"/>
          <w:sz w:val="24"/>
          <w:szCs w:val="24"/>
        </w:rPr>
        <w:t>2010</w:t>
      </w:r>
      <w:r>
        <w:rPr>
          <w:rFonts w:hint="eastAsia" w:ascii="宋体" w:hAnsi="宋体" w:cs="宋体"/>
          <w:sz w:val="24"/>
          <w:szCs w:val="24"/>
        </w:rPr>
        <w:t>）</w:t>
      </w:r>
      <w:r>
        <w:rPr>
          <w:rFonts w:ascii="宋体" w:hAnsi="宋体" w:cs="宋体"/>
          <w:sz w:val="24"/>
          <w:szCs w:val="24"/>
        </w:rPr>
        <w:t>24</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”文件要求，政府采购合同金额</w:t>
      </w:r>
      <w:r>
        <w:rPr>
          <w:rFonts w:ascii="宋体" w:hAnsi="宋体" w:cs="宋体"/>
          <w:sz w:val="24"/>
          <w:szCs w:val="24"/>
        </w:rPr>
        <w:t>50</w:t>
      </w:r>
      <w:r>
        <w:rPr>
          <w:rFonts w:hint="eastAsia" w:ascii="宋体" w:hAnsi="宋体" w:cs="宋体"/>
          <w:sz w:val="24"/>
          <w:szCs w:val="24"/>
        </w:rPr>
        <w:t>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十、付款方式</w:t>
      </w:r>
    </w:p>
    <w:p>
      <w:pPr>
        <w:adjustRightInd w:val="0"/>
        <w:snapToGrid w:val="0"/>
        <w:spacing w:line="540" w:lineRule="exact"/>
        <w:ind w:firstLine="480" w:firstLineChars="200"/>
        <w:outlineLvl w:val="0"/>
        <w:rPr>
          <w:rFonts w:ascii="宋体" w:hAnsi="宋体" w:cs="宋体"/>
          <w:sz w:val="24"/>
          <w:szCs w:val="24"/>
        </w:rPr>
      </w:pPr>
      <w:r>
        <w:rPr>
          <w:rFonts w:hint="eastAsia" w:ascii="宋体" w:hAnsi="宋体" w:cs="宋体"/>
          <w:sz w:val="24"/>
          <w:szCs w:val="24"/>
        </w:rPr>
        <w:t>1、本合同甲方按采购图书总码洋的</w:t>
      </w:r>
      <w:r>
        <w:rPr>
          <w:rFonts w:hint="eastAsia" w:ascii="宋体" w:hAnsi="宋体" w:cs="宋体"/>
          <w:sz w:val="24"/>
          <w:szCs w:val="24"/>
          <w:u w:val="single"/>
        </w:rPr>
        <w:t>90</w:t>
      </w:r>
      <w:r>
        <w:rPr>
          <w:rFonts w:hint="eastAsia" w:ascii="宋体" w:hAnsi="宋体" w:cs="宋体"/>
          <w:sz w:val="24"/>
          <w:szCs w:val="24"/>
        </w:rPr>
        <w:t>%（折扣率）向乙方支付货款。</w:t>
      </w:r>
    </w:p>
    <w:p>
      <w:pPr>
        <w:adjustRightInd w:val="0"/>
        <w:snapToGrid w:val="0"/>
        <w:spacing w:line="540" w:lineRule="exact"/>
        <w:ind w:firstLine="480" w:firstLineChars="200"/>
        <w:outlineLvl w:val="0"/>
        <w:rPr>
          <w:rFonts w:ascii="宋体" w:hAnsi="宋体" w:cs="宋体"/>
          <w:sz w:val="24"/>
          <w:szCs w:val="24"/>
        </w:rPr>
      </w:pPr>
      <w:r>
        <w:rPr>
          <w:rFonts w:hint="eastAsia" w:ascii="宋体" w:hAnsi="宋体" w:cs="宋体"/>
          <w:sz w:val="24"/>
          <w:szCs w:val="24"/>
        </w:rPr>
        <w:t xml:space="preserve">2、本合同总金额为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00000.00 </w:t>
      </w:r>
      <w:r>
        <w:rPr>
          <w:rFonts w:hint="eastAsia" w:ascii="宋体" w:hAnsi="宋体" w:cs="宋体"/>
          <w:sz w:val="24"/>
          <w:szCs w:val="24"/>
        </w:rPr>
        <w:t>元（折扣后的实洋）。</w:t>
      </w:r>
    </w:p>
    <w:p>
      <w:pPr>
        <w:spacing w:line="540" w:lineRule="exact"/>
        <w:ind w:firstLine="480" w:firstLineChars="200"/>
        <w:rPr>
          <w:rFonts w:ascii="宋体" w:hAnsi="宋体" w:cs="宋体"/>
          <w:sz w:val="24"/>
          <w:szCs w:val="24"/>
        </w:rPr>
      </w:pPr>
      <w:r>
        <w:rPr>
          <w:rFonts w:hint="eastAsia" w:ascii="宋体" w:hAnsi="宋体" w:cs="宋体"/>
          <w:sz w:val="24"/>
          <w:szCs w:val="24"/>
        </w:rPr>
        <w:t>3、付款方式：图书通过正式验收后，并经相关部门审计后，甲方向乙方支付合同总金额的95％即人民币</w:t>
      </w:r>
      <w:r>
        <w:rPr>
          <w:rFonts w:hint="eastAsia" w:ascii="宋体" w:hAnsi="宋体" w:cs="宋体"/>
          <w:b/>
          <w:bCs/>
          <w:sz w:val="24"/>
          <w:szCs w:val="24"/>
          <w:u w:val="single"/>
          <w:lang w:val="en-US" w:eastAsia="zh-CN"/>
        </w:rPr>
        <w:t>壹拾玖</w:t>
      </w:r>
      <w:r>
        <w:rPr>
          <w:rFonts w:hint="eastAsia" w:ascii="宋体" w:hAnsi="宋体" w:cs="宋体"/>
          <w:b/>
          <w:bCs/>
          <w:kern w:val="0"/>
          <w:sz w:val="24"/>
          <w:szCs w:val="24"/>
          <w:u w:val="single"/>
        </w:rPr>
        <w:t>万元整</w:t>
      </w:r>
      <w:r>
        <w:rPr>
          <w:rFonts w:hint="eastAsia" w:ascii="宋体" w:hAnsi="宋体" w:cs="宋体"/>
          <w:sz w:val="24"/>
          <w:szCs w:val="24"/>
        </w:rPr>
        <w:t>（小写：￥</w:t>
      </w:r>
      <w:r>
        <w:rPr>
          <w:rFonts w:hint="eastAsia" w:ascii="宋体" w:hAnsi="宋体" w:cs="宋体"/>
          <w:b/>
          <w:bCs/>
          <w:kern w:val="0"/>
          <w:sz w:val="24"/>
          <w:szCs w:val="24"/>
          <w:u w:val="single"/>
          <w:lang w:val="en-US" w:eastAsia="zh-CN"/>
        </w:rPr>
        <w:t>190</w:t>
      </w:r>
      <w:r>
        <w:rPr>
          <w:rFonts w:hint="eastAsia" w:ascii="宋体" w:hAnsi="宋体" w:cs="宋体"/>
          <w:b/>
          <w:bCs/>
          <w:kern w:val="0"/>
          <w:sz w:val="24"/>
          <w:szCs w:val="24"/>
          <w:u w:val="single"/>
        </w:rPr>
        <w:t>000</w:t>
      </w:r>
      <w:r>
        <w:rPr>
          <w:rFonts w:hint="eastAsia" w:ascii="宋体" w:hAnsi="宋体" w:cs="宋体"/>
          <w:sz w:val="24"/>
          <w:szCs w:val="24"/>
        </w:rPr>
        <w:t>元）。其余5%即人民币</w:t>
      </w:r>
      <w:r>
        <w:rPr>
          <w:rFonts w:hint="eastAsia" w:ascii="宋体" w:hAnsi="宋体" w:cs="宋体"/>
          <w:sz w:val="24"/>
          <w:szCs w:val="24"/>
          <w:u w:val="single"/>
        </w:rPr>
        <w:t>壹万元整</w:t>
      </w:r>
      <w:r>
        <w:rPr>
          <w:rFonts w:hint="eastAsia" w:ascii="宋体" w:hAnsi="宋体" w:cs="宋体"/>
          <w:sz w:val="24"/>
          <w:szCs w:val="24"/>
        </w:rPr>
        <w:t>（小写：￥</w:t>
      </w:r>
      <w:r>
        <w:rPr>
          <w:rFonts w:hint="eastAsia" w:ascii="宋体" w:hAnsi="宋体" w:cs="宋体"/>
          <w:b/>
          <w:bCs/>
          <w:kern w:val="0"/>
          <w:sz w:val="24"/>
          <w:szCs w:val="24"/>
          <w:u w:val="single"/>
        </w:rPr>
        <w:t>1</w:t>
      </w:r>
      <w:r>
        <w:rPr>
          <w:rFonts w:hint="eastAsia" w:ascii="宋体" w:hAnsi="宋体" w:cs="宋体"/>
          <w:b/>
          <w:bCs/>
          <w:kern w:val="0"/>
          <w:sz w:val="24"/>
          <w:szCs w:val="24"/>
          <w:u w:val="single"/>
          <w:lang w:val="en-US" w:eastAsia="zh-CN"/>
        </w:rPr>
        <w:t>0</w:t>
      </w:r>
      <w:r>
        <w:rPr>
          <w:rFonts w:hint="eastAsia" w:ascii="宋体" w:hAnsi="宋体" w:cs="宋体"/>
          <w:b/>
          <w:bCs/>
          <w:kern w:val="0"/>
          <w:sz w:val="24"/>
          <w:szCs w:val="24"/>
          <w:u w:val="single"/>
        </w:rPr>
        <w:t>000</w:t>
      </w:r>
      <w:r>
        <w:rPr>
          <w:rFonts w:hint="eastAsia" w:ascii="宋体" w:hAnsi="宋体" w:cs="宋体"/>
          <w:sz w:val="24"/>
          <w:szCs w:val="24"/>
        </w:rPr>
        <w:t>元） 转为质量保证金，质保期满后如无质量问题，质量保证金一次性无息付清。</w:t>
      </w:r>
    </w:p>
    <w:p>
      <w:pPr>
        <w:adjustRightInd w:val="0"/>
        <w:snapToGrid w:val="0"/>
        <w:spacing w:line="540" w:lineRule="exact"/>
        <w:ind w:firstLine="560" w:firstLineChars="200"/>
        <w:outlineLvl w:val="0"/>
        <w:rPr>
          <w:rFonts w:ascii="宋体" w:hAnsi="宋体" w:cs="宋体"/>
          <w:b/>
          <w:bCs/>
          <w:sz w:val="28"/>
          <w:szCs w:val="28"/>
        </w:rPr>
      </w:pPr>
      <w:r>
        <w:rPr>
          <w:rFonts w:hint="eastAsia" w:ascii="宋体" w:hAnsi="宋体" w:cs="宋体"/>
          <w:b/>
          <w:bCs/>
          <w:sz w:val="28"/>
          <w:szCs w:val="28"/>
        </w:rPr>
        <w:t>十一、履约担保</w:t>
      </w:r>
    </w:p>
    <w:p>
      <w:pPr>
        <w:adjustRightInd w:val="0"/>
        <w:snapToGrid w:val="0"/>
        <w:spacing w:line="540" w:lineRule="exact"/>
        <w:ind w:firstLine="480" w:firstLineChars="200"/>
        <w:rPr>
          <w:rFonts w:ascii="宋体" w:hAnsi="宋体" w:cs="宋体"/>
          <w:sz w:val="24"/>
          <w:szCs w:val="24"/>
        </w:rPr>
      </w:pPr>
      <w:r>
        <w:rPr>
          <w:rFonts w:hint="eastAsia" w:ascii="宋体" w:hAnsi="宋体" w:cs="宋体"/>
          <w:sz w:val="24"/>
          <w:szCs w:val="24"/>
        </w:rPr>
        <w:t>1、乙方须向甲方以现金或转账的方式交纳履约保证金</w:t>
      </w:r>
      <w:r>
        <w:rPr>
          <w:rFonts w:hint="eastAsia" w:ascii="宋体" w:hAnsi="宋体" w:cs="宋体"/>
          <w:b/>
          <w:bCs/>
          <w:sz w:val="24"/>
          <w:szCs w:val="24"/>
          <w:lang w:val="en-US" w:eastAsia="zh-CN"/>
        </w:rPr>
        <w:t>1</w:t>
      </w:r>
      <w:r>
        <w:rPr>
          <w:rFonts w:hint="eastAsia" w:ascii="宋体" w:hAnsi="宋体" w:cs="宋体"/>
          <w:b/>
          <w:bCs/>
          <w:sz w:val="24"/>
          <w:szCs w:val="24"/>
        </w:rPr>
        <w:t>万元</w:t>
      </w:r>
      <w:r>
        <w:rPr>
          <w:rFonts w:hint="eastAsia" w:ascii="宋体" w:hAnsi="宋体" w:cs="宋体"/>
          <w:sz w:val="24"/>
          <w:szCs w:val="24"/>
        </w:rPr>
        <w:t>。履约保证金在签订合同前交学校财务处，合同完成，图书验收合格正式交付使用后予以退还。</w:t>
      </w:r>
    </w:p>
    <w:p>
      <w:pPr>
        <w:spacing w:line="540" w:lineRule="exact"/>
        <w:ind w:firstLine="480" w:firstLineChars="200"/>
        <w:rPr>
          <w:rFonts w:hint="eastAsia" w:ascii="宋体" w:hAnsi="宋体" w:cs="宋体"/>
          <w:sz w:val="24"/>
          <w:szCs w:val="24"/>
        </w:rPr>
      </w:pPr>
      <w:r>
        <w:rPr>
          <w:rFonts w:hint="eastAsia" w:ascii="宋体" w:hAnsi="宋体" w:cs="宋体"/>
          <w:sz w:val="24"/>
          <w:szCs w:val="24"/>
        </w:rPr>
        <w:t>2、有下列情况之一的，履约保证金全额不予退还：（1）、投标供应商接到郑州大学图书馆报出的图书订单后，3 个月内没有供书的；（2）、投标供应商接到郑州大学图书馆报出</w:t>
      </w:r>
    </w:p>
    <w:p>
      <w:pPr>
        <w:pStyle w:val="2"/>
        <w:rPr>
          <w:rFonts w:hint="eastAsia" w:ascii="宋体" w:hAnsi="宋体" w:cs="宋体"/>
          <w:sz w:val="24"/>
          <w:szCs w:val="24"/>
        </w:rPr>
      </w:pPr>
    </w:p>
    <w:p>
      <w:pPr>
        <w:pStyle w:val="3"/>
        <w:rPr>
          <w:rFonts w:hint="eastAsia" w:eastAsia="宋体"/>
          <w:lang w:eastAsia="zh-CN"/>
        </w:rPr>
        <w:sectPr>
          <w:headerReference r:id="rId3" w:type="default"/>
          <w:footerReference r:id="rId4" w:type="default"/>
          <w:pgSz w:w="11906" w:h="16838"/>
          <w:pgMar w:top="1134" w:right="1134" w:bottom="1134" w:left="1134" w:header="851" w:footer="862" w:gutter="0"/>
          <w:cols w:space="720" w:num="1"/>
          <w:docGrid w:type="linesAndChars" w:linePitch="312" w:charSpace="0"/>
        </w:sectPr>
      </w:pPr>
    </w:p>
    <w:p>
      <w:pPr>
        <w:pStyle w:val="3"/>
        <w:rPr>
          <w:rFonts w:hint="eastAsia" w:eastAsia="宋体"/>
          <w:lang w:eastAsia="zh-CN"/>
        </w:rPr>
        <w:sectPr>
          <w:footerReference r:id="rId5" w:type="default"/>
          <w:pgSz w:w="11906" w:h="16838"/>
          <w:pgMar w:top="1134" w:right="1134" w:bottom="1134" w:left="1134" w:header="851" w:footer="862" w:gutter="0"/>
          <w:cols w:space="720" w:num="1"/>
          <w:docGrid w:type="linesAndChars" w:linePitch="312" w:charSpace="0"/>
        </w:sectPr>
      </w:pPr>
      <w:r>
        <w:rPr>
          <w:rFonts w:hint="eastAsia" w:eastAsia="宋体"/>
          <w:lang w:eastAsia="zh-CN"/>
        </w:rPr>
        <w:drawing>
          <wp:inline distT="0" distB="0" distL="114300" distR="114300">
            <wp:extent cx="6113145" cy="8154670"/>
            <wp:effectExtent l="0" t="0" r="1905" b="17780"/>
            <wp:docPr id="10" name="图片 10" descr="d593ad9ed3a5db0b14c39180d09b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593ad9ed3a5db0b14c39180d09b472"/>
                    <pic:cNvPicPr>
                      <a:picLocks noChangeAspect="1"/>
                    </pic:cNvPicPr>
                  </pic:nvPicPr>
                  <pic:blipFill>
                    <a:blip r:embed="rId12"/>
                    <a:stretch>
                      <a:fillRect/>
                    </a:stretch>
                  </pic:blipFill>
                  <pic:spPr>
                    <a:xfrm>
                      <a:off x="0" y="0"/>
                      <a:ext cx="6113145" cy="8154670"/>
                    </a:xfrm>
                    <a:prstGeom prst="rect">
                      <a:avLst/>
                    </a:prstGeom>
                  </pic:spPr>
                </pic:pic>
              </a:graphicData>
            </a:graphic>
          </wp:inline>
        </w:drawing>
      </w:r>
    </w:p>
    <w:p>
      <w:pPr>
        <w:spacing w:line="360" w:lineRule="auto"/>
        <w:jc w:val="center"/>
        <w:rPr>
          <w:rFonts w:ascii="宋体" w:cs="Times New Roman"/>
          <w:b/>
          <w:bCs/>
          <w:sz w:val="28"/>
          <w:szCs w:val="28"/>
        </w:rPr>
      </w:pPr>
      <w:r>
        <w:rPr>
          <w:rFonts w:hint="eastAsia" w:ascii="宋体" w:eastAsia="宋体" w:cs="Times New Roman"/>
          <w:b/>
          <w:bCs/>
          <w:sz w:val="28"/>
          <w:szCs w:val="28"/>
          <w:lang w:eastAsia="zh-CN"/>
        </w:rPr>
        <w:drawing>
          <wp:inline distT="0" distB="0" distL="114300" distR="114300">
            <wp:extent cx="5866765" cy="7826375"/>
            <wp:effectExtent l="0" t="0" r="3175" b="635"/>
            <wp:docPr id="6" name="图片 6" descr="d419a1c3c32631ce6d697b269148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419a1c3c32631ce6d697b269148a8a"/>
                    <pic:cNvPicPr>
                      <a:picLocks noChangeAspect="1"/>
                    </pic:cNvPicPr>
                  </pic:nvPicPr>
                  <pic:blipFill>
                    <a:blip r:embed="rId13"/>
                    <a:stretch>
                      <a:fillRect/>
                    </a:stretch>
                  </pic:blipFill>
                  <pic:spPr>
                    <a:xfrm rot="16200000">
                      <a:off x="0" y="0"/>
                      <a:ext cx="5866765" cy="7826375"/>
                    </a:xfrm>
                    <a:prstGeom prst="rect">
                      <a:avLst/>
                    </a:prstGeom>
                  </pic:spPr>
                </pic:pic>
              </a:graphicData>
            </a:graphic>
          </wp:inline>
        </w:drawing>
      </w:r>
    </w:p>
    <w:p>
      <w:pPr>
        <w:spacing w:line="360" w:lineRule="auto"/>
        <w:jc w:val="center"/>
        <w:rPr>
          <w:rFonts w:hint="eastAsia" w:ascii="宋体" w:eastAsia="宋体" w:cs="Times New Roman"/>
          <w:b/>
          <w:bCs/>
          <w:sz w:val="28"/>
          <w:szCs w:val="28"/>
          <w:lang w:eastAsia="zh-CN"/>
        </w:rPr>
        <w:sectPr>
          <w:footerReference r:id="rId6" w:type="default"/>
          <w:pgSz w:w="16838" w:h="11906" w:orient="landscape"/>
          <w:pgMar w:top="1134" w:right="1134" w:bottom="1134" w:left="1134" w:header="851" w:footer="862" w:gutter="0"/>
          <w:cols w:space="720" w:num="1"/>
          <w:docGrid w:type="linesAndChars" w:linePitch="312" w:charSpace="0"/>
        </w:sectPr>
      </w:pPr>
    </w:p>
    <w:p>
      <w:pPr>
        <w:spacing w:line="360" w:lineRule="auto"/>
        <w:jc w:val="center"/>
        <w:rPr>
          <w:rFonts w:hint="eastAsia" w:ascii="宋体" w:eastAsia="宋体" w:cs="Times New Roman"/>
          <w:b/>
          <w:bCs/>
          <w:sz w:val="28"/>
          <w:szCs w:val="28"/>
          <w:lang w:eastAsia="zh-CN"/>
        </w:rPr>
        <w:sectPr>
          <w:footerReference r:id="rId7" w:type="default"/>
          <w:pgSz w:w="16838" w:h="11906" w:orient="landscape"/>
          <w:pgMar w:top="1134" w:right="1134" w:bottom="1134" w:left="1134" w:header="851" w:footer="862" w:gutter="0"/>
          <w:cols w:space="720" w:num="1"/>
          <w:docGrid w:type="linesAndChars" w:linePitch="312" w:charSpace="0"/>
        </w:sectPr>
      </w:pPr>
      <w:r>
        <w:rPr>
          <w:rFonts w:hint="eastAsia" w:ascii="宋体" w:eastAsia="宋体" w:cs="Times New Roman"/>
          <w:b/>
          <w:bCs/>
          <w:sz w:val="28"/>
          <w:szCs w:val="28"/>
          <w:lang w:eastAsia="zh-CN"/>
        </w:rPr>
        <w:drawing>
          <wp:inline distT="0" distB="0" distL="114300" distR="114300">
            <wp:extent cx="5933440" cy="7914640"/>
            <wp:effectExtent l="0" t="0" r="10160" b="10160"/>
            <wp:docPr id="5" name="图片 5" descr="339d6e233b0d65a281ae822bf21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39d6e233b0d65a281ae822bf218791"/>
                    <pic:cNvPicPr>
                      <a:picLocks noChangeAspect="1"/>
                    </pic:cNvPicPr>
                  </pic:nvPicPr>
                  <pic:blipFill>
                    <a:blip r:embed="rId14"/>
                    <a:stretch>
                      <a:fillRect/>
                    </a:stretch>
                  </pic:blipFill>
                  <pic:spPr>
                    <a:xfrm rot="16200000">
                      <a:off x="0" y="0"/>
                      <a:ext cx="5933440" cy="7914640"/>
                    </a:xfrm>
                    <a:prstGeom prst="rect">
                      <a:avLst/>
                    </a:prstGeom>
                  </pic:spPr>
                </pic:pic>
              </a:graphicData>
            </a:graphic>
          </wp:inline>
        </w:drawing>
      </w:r>
    </w:p>
    <w:p>
      <w:pPr>
        <w:adjustRightInd w:val="0"/>
        <w:snapToGrid w:val="0"/>
        <w:spacing w:line="500" w:lineRule="exact"/>
        <w:outlineLvl w:val="0"/>
        <w:rPr>
          <w:rFonts w:ascii="宋体" w:hAnsi="宋体" w:cs="宋体"/>
          <w:b/>
          <w:bCs/>
          <w:sz w:val="32"/>
          <w:szCs w:val="32"/>
        </w:rPr>
      </w:pPr>
      <w:r>
        <w:rPr>
          <w:rFonts w:hint="eastAsia" w:ascii="宋体" w:hAnsi="宋体" w:cs="宋体"/>
          <w:b/>
          <w:bCs/>
          <w:sz w:val="32"/>
          <w:szCs w:val="32"/>
        </w:rPr>
        <w:t>附件</w:t>
      </w:r>
      <w:r>
        <w:rPr>
          <w:rFonts w:ascii="宋体" w:hAnsi="宋体" w:cs="宋体"/>
          <w:b/>
          <w:bCs/>
          <w:sz w:val="32"/>
          <w:szCs w:val="32"/>
        </w:rPr>
        <w:t>3</w:t>
      </w:r>
      <w:r>
        <w:rPr>
          <w:rFonts w:hint="eastAsia" w:ascii="宋体" w:hAnsi="宋体" w:cs="宋体"/>
          <w:b/>
          <w:bCs/>
          <w:sz w:val="32"/>
          <w:szCs w:val="32"/>
        </w:rPr>
        <w:t>：售后服务计划和质量保证承诺书</w:t>
      </w:r>
    </w:p>
    <w:p>
      <w:pPr>
        <w:widowControl/>
        <w:ind w:firstLine="420"/>
        <w:rPr>
          <w:rFonts w:ascii="宋体" w:hAnsi="宋体" w:cs="等线"/>
          <w:b/>
          <w:sz w:val="24"/>
          <w:szCs w:val="24"/>
        </w:rPr>
      </w:pPr>
      <w:r>
        <w:rPr>
          <w:rFonts w:hint="eastAsia" w:ascii="宋体" w:hAnsi="宋体" w:cs="等线"/>
          <w:b/>
          <w:sz w:val="24"/>
          <w:szCs w:val="24"/>
        </w:rPr>
        <w:t>1.采购方式和采购项目简述。</w:t>
      </w:r>
    </w:p>
    <w:p>
      <w:pPr>
        <w:widowControl/>
        <w:ind w:firstLine="480" w:firstLineChars="200"/>
        <w:jc w:val="left"/>
        <w:rPr>
          <w:rFonts w:ascii="宋体" w:hAnsi="宋体" w:cs="等线"/>
          <w:sz w:val="24"/>
          <w:szCs w:val="24"/>
        </w:rPr>
      </w:pPr>
      <w:r>
        <w:rPr>
          <w:rFonts w:hint="eastAsia" w:ascii="宋体" w:hAnsi="宋体" w:cs="等线"/>
          <w:sz w:val="24"/>
          <w:szCs w:val="24"/>
        </w:rPr>
        <w:t>我司清楚本次郑州大学图书馆项目</w:t>
      </w:r>
      <w:r>
        <w:rPr>
          <w:rFonts w:hint="eastAsia" w:ascii="宋体" w:hAnsi="宋体" w:cs="等线"/>
          <w:sz w:val="24"/>
          <w:szCs w:val="24"/>
          <w:lang w:val="en-US" w:eastAsia="zh-CN"/>
        </w:rPr>
        <w:t>招标内容</w:t>
      </w:r>
      <w:r>
        <w:rPr>
          <w:rFonts w:hint="eastAsia" w:ascii="宋体" w:hAnsi="宋体" w:cs="等线"/>
          <w:sz w:val="24"/>
          <w:szCs w:val="24"/>
        </w:rPr>
        <w:t>，我司提供现场采购为主、书目订单采购为辅的供货方式，保证提供的图书均为港台各大型正规、权威的出版社出版的各学科图书，保证所提供的图书内容健康、学术研究性强</w:t>
      </w:r>
      <w:r>
        <w:rPr>
          <w:rFonts w:hint="eastAsia" w:ascii="宋体" w:hAnsi="宋体" w:cs="等线"/>
          <w:sz w:val="24"/>
          <w:szCs w:val="24"/>
          <w:lang w:eastAsia="zh-CN"/>
        </w:rPr>
        <w:t>。</w:t>
      </w:r>
      <w:r>
        <w:rPr>
          <w:rFonts w:hint="eastAsia" w:ascii="宋体" w:hAnsi="宋体" w:cs="等线"/>
          <w:sz w:val="24"/>
          <w:szCs w:val="24"/>
        </w:rPr>
        <w:t>承诺根据自有渠道，高效、准确地按采购人提供书目订单的品种、数量</w:t>
      </w:r>
      <w:r>
        <w:rPr>
          <w:rFonts w:hint="eastAsia" w:ascii="宋体" w:hAnsi="宋体" w:cs="等线"/>
          <w:sz w:val="24"/>
          <w:szCs w:val="24"/>
          <w:lang w:val="en-US" w:eastAsia="zh-CN"/>
        </w:rPr>
        <w:t>进行</w:t>
      </w:r>
      <w:r>
        <w:rPr>
          <w:rFonts w:hint="eastAsia" w:ascii="宋体" w:hAnsi="宋体" w:cs="等线"/>
          <w:sz w:val="24"/>
          <w:szCs w:val="24"/>
        </w:rPr>
        <w:t>图书的征订、配送及其它后期深加工服务工作，</w:t>
      </w:r>
      <w:r>
        <w:rPr>
          <w:rFonts w:hint="eastAsia" w:ascii="宋体" w:hAnsi="宋体" w:cs="等线"/>
          <w:sz w:val="24"/>
          <w:szCs w:val="24"/>
          <w:lang w:val="en-US" w:eastAsia="zh-CN"/>
        </w:rPr>
        <w:t>并</w:t>
      </w:r>
      <w:r>
        <w:rPr>
          <w:rFonts w:hint="eastAsia" w:ascii="宋体" w:hAnsi="宋体" w:cs="等线"/>
          <w:sz w:val="24"/>
          <w:szCs w:val="24"/>
        </w:rPr>
        <w:t>按照郑州大学图书馆</w:t>
      </w:r>
      <w:r>
        <w:rPr>
          <w:rFonts w:hint="eastAsia" w:ascii="宋体" w:hAnsi="宋体" w:cs="等线"/>
          <w:sz w:val="24"/>
          <w:szCs w:val="24"/>
          <w:lang w:val="en-US" w:eastAsia="zh-CN"/>
        </w:rPr>
        <w:t>要求</w:t>
      </w:r>
      <w:r>
        <w:rPr>
          <w:rFonts w:hint="eastAsia" w:ascii="宋体" w:hAnsi="宋体" w:cs="等线"/>
          <w:sz w:val="24"/>
          <w:szCs w:val="24"/>
        </w:rPr>
        <w:t>的</w:t>
      </w:r>
      <w:r>
        <w:rPr>
          <w:rFonts w:hint="eastAsia" w:ascii="宋体" w:hAnsi="宋体" w:cs="等线"/>
          <w:sz w:val="24"/>
          <w:szCs w:val="24"/>
          <w:lang w:val="en-US" w:eastAsia="zh-CN"/>
        </w:rPr>
        <w:t>原则进行</w:t>
      </w:r>
      <w:r>
        <w:rPr>
          <w:rFonts w:hint="eastAsia" w:ascii="宋体" w:hAnsi="宋体" w:cs="等线"/>
          <w:sz w:val="24"/>
          <w:szCs w:val="24"/>
        </w:rPr>
        <w:t>图书分类、编目、加工</w:t>
      </w:r>
      <w:r>
        <w:rPr>
          <w:rFonts w:hint="eastAsia" w:ascii="宋体" w:hAnsi="宋体" w:cs="等线"/>
          <w:sz w:val="24"/>
          <w:szCs w:val="24"/>
          <w:lang w:eastAsia="zh-CN"/>
        </w:rPr>
        <w:t>，</w:t>
      </w:r>
      <w:r>
        <w:rPr>
          <w:rFonts w:hint="eastAsia" w:ascii="宋体" w:hAnsi="宋体" w:cs="等线"/>
          <w:sz w:val="24"/>
          <w:szCs w:val="24"/>
        </w:rPr>
        <w:t xml:space="preserve">所产生一切费用均已经包含在投标总价中，绝不向采购人额外收取其他费用。 </w:t>
      </w:r>
    </w:p>
    <w:p>
      <w:pPr>
        <w:widowControl/>
        <w:ind w:firstLine="480" w:firstLineChars="200"/>
        <w:jc w:val="left"/>
        <w:rPr>
          <w:rFonts w:ascii="宋体" w:hAnsi="宋体" w:cs="等线"/>
          <w:b/>
          <w:sz w:val="24"/>
          <w:szCs w:val="24"/>
        </w:rPr>
      </w:pPr>
      <w:r>
        <w:rPr>
          <w:rFonts w:hint="eastAsia" w:ascii="宋体" w:hAnsi="宋体" w:cs="等线"/>
          <w:b/>
          <w:sz w:val="24"/>
          <w:szCs w:val="24"/>
        </w:rPr>
        <w:t>2.图书采访目录。</w:t>
      </w:r>
    </w:p>
    <w:p>
      <w:pPr>
        <w:widowControl/>
        <w:ind w:firstLine="480" w:firstLineChars="200"/>
        <w:jc w:val="left"/>
        <w:rPr>
          <w:rFonts w:ascii="宋体" w:hAnsi="宋体" w:cs="等线"/>
          <w:sz w:val="24"/>
          <w:szCs w:val="24"/>
        </w:rPr>
      </w:pPr>
      <w:r>
        <w:rPr>
          <w:rFonts w:hint="eastAsia" w:ascii="宋体" w:hAnsi="宋体" w:cs="等线"/>
          <w:sz w:val="24"/>
          <w:szCs w:val="24"/>
        </w:rPr>
        <w:t>我司保证免费、定期、及时提供港台大型正规出版社出版的各学科图书书目（包括学术型出版商新书目录），保证每月及时提供符合高校读者需求的港台版图书新书目录，我司保证所提供的书目学科符合郑州大学采购要求和教研需求，提供的书目包括书本式图书目录和电子数据目录，形式包括采访数据和EXCEL电子表格，格式符合采购人提供的书目数据模板和要求。我司确保所提供的书目数据准确，符合采购人采访数据要求，并且能在采购方图书馆系统无障碍使用。</w:t>
      </w:r>
    </w:p>
    <w:p>
      <w:pPr>
        <w:widowControl/>
        <w:ind w:firstLine="480" w:firstLineChars="200"/>
        <w:jc w:val="left"/>
        <w:rPr>
          <w:rFonts w:ascii="宋体" w:hAnsi="宋体" w:cs="等线"/>
          <w:b/>
          <w:sz w:val="24"/>
          <w:szCs w:val="24"/>
        </w:rPr>
      </w:pPr>
      <w:r>
        <w:rPr>
          <w:rFonts w:hint="eastAsia" w:ascii="宋体" w:hAnsi="宋体" w:cs="等线"/>
          <w:b/>
          <w:sz w:val="24"/>
          <w:szCs w:val="24"/>
        </w:rPr>
        <w:t>3．订单执行和反馈</w:t>
      </w:r>
    </w:p>
    <w:p>
      <w:pPr>
        <w:widowControl/>
        <w:ind w:firstLine="480" w:firstLineChars="200"/>
        <w:jc w:val="left"/>
        <w:rPr>
          <w:rFonts w:ascii="宋体" w:hAnsi="宋体" w:cs="等线"/>
          <w:sz w:val="24"/>
          <w:szCs w:val="24"/>
        </w:rPr>
      </w:pPr>
      <w:r>
        <w:rPr>
          <w:rFonts w:hint="eastAsia" w:ascii="宋体" w:hAnsi="宋体" w:cs="等线"/>
          <w:sz w:val="24"/>
          <w:szCs w:val="24"/>
        </w:rPr>
        <w:t>我司接受采购人通过其他渠道自行提供的采购书目。我司为采购人建立订单数据库，我司可根据采购人要求，在我司本地书目数据库查询采购人的历次订购目录（含现采），对采购人每次发送的订单进行查重，。我司承诺严格按照采购人提供的购书目录提供正版图书，在未征得采购方同意下，绝不擅自更换或搭配非订购的品种和复本数量，绝不掺加非采购人订购的图书和非正版图书。</w:t>
      </w:r>
    </w:p>
    <w:p>
      <w:pPr>
        <w:widowControl/>
        <w:ind w:firstLine="480" w:firstLineChars="200"/>
        <w:jc w:val="left"/>
        <w:rPr>
          <w:rFonts w:ascii="宋体" w:hAnsi="宋体" w:cs="等线"/>
          <w:b/>
          <w:sz w:val="24"/>
          <w:szCs w:val="24"/>
        </w:rPr>
      </w:pPr>
      <w:r>
        <w:rPr>
          <w:rFonts w:hint="eastAsia" w:ascii="宋体" w:hAnsi="宋体" w:cs="等线"/>
          <w:b/>
          <w:sz w:val="24"/>
          <w:szCs w:val="24"/>
        </w:rPr>
        <w:t xml:space="preserve">4.到货率和到货时间 </w:t>
      </w:r>
    </w:p>
    <w:p>
      <w:pPr>
        <w:widowControl/>
        <w:ind w:firstLine="480" w:firstLineChars="200"/>
        <w:jc w:val="left"/>
        <w:rPr>
          <w:rFonts w:ascii="宋体" w:hAnsi="宋体" w:cs="等线"/>
          <w:sz w:val="24"/>
          <w:szCs w:val="24"/>
        </w:rPr>
      </w:pPr>
      <w:r>
        <w:rPr>
          <w:rFonts w:hint="eastAsia" w:ascii="宋体" w:hAnsi="宋体" w:cs="等线"/>
          <w:sz w:val="24"/>
          <w:szCs w:val="24"/>
        </w:rPr>
        <w:t>我司承诺按招标文件中规定，60个日历日进行交货。同时我司保证自合同签订之日起，在两个月内把加工好的书送达采购人指定的地点，并保证图书到书率达95%（含95%）以上。</w:t>
      </w:r>
    </w:p>
    <w:p>
      <w:pPr>
        <w:widowControl/>
        <w:ind w:firstLine="480" w:firstLineChars="200"/>
        <w:jc w:val="left"/>
        <w:rPr>
          <w:rFonts w:ascii="宋体" w:hAnsi="宋体" w:cs="等线"/>
          <w:b/>
          <w:sz w:val="24"/>
          <w:szCs w:val="24"/>
        </w:rPr>
      </w:pPr>
      <w:r>
        <w:rPr>
          <w:rFonts w:hint="eastAsia" w:ascii="宋体" w:hAnsi="宋体" w:cs="等线"/>
          <w:b/>
          <w:sz w:val="24"/>
          <w:szCs w:val="24"/>
        </w:rPr>
        <w:t>5.现场采购</w:t>
      </w:r>
    </w:p>
    <w:p>
      <w:pPr>
        <w:widowControl/>
        <w:ind w:firstLine="480" w:firstLineChars="200"/>
        <w:jc w:val="left"/>
        <w:rPr>
          <w:rFonts w:ascii="宋体" w:hAnsi="宋体" w:cs="等线"/>
          <w:sz w:val="24"/>
          <w:szCs w:val="24"/>
        </w:rPr>
      </w:pPr>
      <w:r>
        <w:rPr>
          <w:rFonts w:hint="eastAsia" w:ascii="宋体" w:hAnsi="宋体" w:cs="等线"/>
          <w:sz w:val="24"/>
          <w:szCs w:val="24"/>
        </w:rPr>
        <w:t>我司具备提供现场采购图书的能力，我司承诺根据采购人文献建设需求，积极组织现采服务，通过现场采购服务，增大图书选购的机会，我司保证为每年采购人提供1次以上现场采购书机会，直至完成采购任务，现采所需的联系会展方、采集器、查重、采访数据、数据安全等费用由我司承担。</w:t>
      </w:r>
    </w:p>
    <w:p>
      <w:pPr>
        <w:widowControl/>
        <w:ind w:firstLine="480" w:firstLineChars="200"/>
        <w:jc w:val="left"/>
        <w:rPr>
          <w:rFonts w:ascii="宋体" w:hAnsi="宋体" w:cs="等线"/>
          <w:b/>
          <w:sz w:val="24"/>
          <w:szCs w:val="24"/>
        </w:rPr>
      </w:pPr>
      <w:r>
        <w:rPr>
          <w:rFonts w:hint="eastAsia" w:ascii="宋体" w:hAnsi="宋体" w:cs="等线"/>
          <w:b/>
          <w:sz w:val="24"/>
          <w:szCs w:val="24"/>
        </w:rPr>
        <w:t>6. 上门书展</w:t>
      </w:r>
    </w:p>
    <w:p>
      <w:pPr>
        <w:widowControl/>
        <w:ind w:firstLine="480" w:firstLineChars="200"/>
        <w:jc w:val="left"/>
        <w:rPr>
          <w:rFonts w:ascii="宋体" w:hAnsi="宋体" w:cs="等线"/>
          <w:sz w:val="24"/>
          <w:szCs w:val="24"/>
        </w:rPr>
      </w:pPr>
      <w:r>
        <w:rPr>
          <w:rFonts w:hint="eastAsia" w:ascii="宋体" w:hAnsi="宋体" w:cs="等线"/>
          <w:sz w:val="24"/>
          <w:szCs w:val="24"/>
        </w:rPr>
        <w:t>我司承诺根据采购人的要求，提供广泛的书源（包括2021年度海峡两岸图书交易会港台原版图书现书）到采购人图书馆展开读者选书活动1次，品种不低于4000种。我司保证所提供的图书均为港台大型权威的正规出版社，所提供的图书内容健康，学术研究性强。</w:t>
      </w:r>
    </w:p>
    <w:p>
      <w:pPr>
        <w:widowControl/>
        <w:ind w:firstLine="480" w:firstLineChars="200"/>
        <w:jc w:val="left"/>
        <w:rPr>
          <w:rFonts w:ascii="宋体" w:hAnsi="宋体" w:cs="等线"/>
          <w:b/>
          <w:sz w:val="24"/>
          <w:szCs w:val="24"/>
        </w:rPr>
      </w:pPr>
      <w:r>
        <w:rPr>
          <w:rFonts w:hint="eastAsia" w:ascii="宋体" w:hAnsi="宋体" w:cs="等线"/>
          <w:b/>
          <w:sz w:val="24"/>
          <w:szCs w:val="24"/>
        </w:rPr>
        <w:t>7.图书运输和包装</w:t>
      </w:r>
    </w:p>
    <w:p>
      <w:pPr>
        <w:widowControl/>
        <w:ind w:firstLine="480" w:firstLineChars="200"/>
        <w:jc w:val="left"/>
        <w:rPr>
          <w:rFonts w:ascii="宋体" w:hAnsi="宋体" w:cs="等线"/>
          <w:sz w:val="24"/>
          <w:szCs w:val="24"/>
        </w:rPr>
      </w:pPr>
      <w:r>
        <w:rPr>
          <w:rFonts w:hint="eastAsia" w:ascii="宋体" w:hAnsi="宋体" w:cs="等线"/>
          <w:sz w:val="24"/>
          <w:szCs w:val="24"/>
        </w:rPr>
        <w:t>我司有专门的物流中心，完善的物流渠道和较大的物流仓储中心，保证图书的运输和配送。我司承担图书的任何通关手续和运输费。我司承诺根据图书出版发行时间，分期、分批、及时、定期免费运送图书到馆。到馆图书的包装由我司物流中心按照防水、防潮、防震和防止其他损坏的必要保护措施，保证图书能够经受多次搬运、装卸等各种长途运输，确保图书完好无损到采购人指定地点。书籍到订，发送，到货我司都应该行使告知义务，提前与采购人确认送货时间。并由我司与采购人核实货物。</w:t>
      </w:r>
    </w:p>
    <w:p>
      <w:pPr>
        <w:widowControl/>
        <w:ind w:firstLine="480" w:firstLineChars="200"/>
        <w:jc w:val="left"/>
        <w:rPr>
          <w:rFonts w:ascii="宋体" w:hAnsi="宋体" w:cs="等线"/>
          <w:b/>
          <w:sz w:val="24"/>
          <w:szCs w:val="24"/>
        </w:rPr>
      </w:pPr>
      <w:r>
        <w:rPr>
          <w:rFonts w:hint="eastAsia" w:ascii="宋体" w:hAnsi="宋体" w:cs="等线"/>
          <w:b/>
          <w:sz w:val="24"/>
          <w:szCs w:val="24"/>
        </w:rPr>
        <w:t>8.图书编目和加工服务</w:t>
      </w:r>
    </w:p>
    <w:p>
      <w:pPr>
        <w:widowControl/>
        <w:ind w:firstLine="480" w:firstLineChars="200"/>
        <w:jc w:val="left"/>
        <w:rPr>
          <w:rFonts w:ascii="宋体" w:hAnsi="宋体" w:cs="等线"/>
          <w:sz w:val="24"/>
          <w:szCs w:val="24"/>
        </w:rPr>
      </w:pPr>
      <w:r>
        <w:rPr>
          <w:rFonts w:hint="eastAsia" w:ascii="宋体" w:hAnsi="宋体" w:cs="等线"/>
          <w:sz w:val="24"/>
          <w:szCs w:val="24"/>
        </w:rPr>
        <w:t>我司承诺按照采购人要求，提供免费到馆加工服务，内容包括图书加盖馆藏章、粘贴条形码、粘贴磁条、加贴书标、安装RFID 标签、贴色标、典藏上架等采购人要求的加工服务。图书加工所需耗材及设备电脑、网络设备、RFID转换器、打印机、扫描仪、书标、条码、磁条、RFID 标签、色标等均由我司承担</w:t>
      </w:r>
      <w:r>
        <w:rPr>
          <w:rFonts w:hint="eastAsia" w:ascii="宋体" w:hAnsi="宋体" w:cs="等线"/>
          <w:sz w:val="24"/>
          <w:szCs w:val="24"/>
          <w:lang w:eastAsia="zh-CN"/>
        </w:rPr>
        <w:t>。</w:t>
      </w:r>
      <w:r>
        <w:rPr>
          <w:rFonts w:hint="eastAsia" w:ascii="宋体" w:hAnsi="宋体" w:cs="等线"/>
          <w:sz w:val="24"/>
          <w:szCs w:val="24"/>
        </w:rPr>
        <w:t>我司承诺加工过程中，我司完全按照采购人要求进行加工，并保证加工质量符合要求。否则，采购人有权拒收所有出现质量问题的图书，我司承担其责任。</w:t>
      </w:r>
    </w:p>
    <w:p>
      <w:pPr>
        <w:widowControl/>
        <w:ind w:firstLine="480" w:firstLineChars="200"/>
        <w:jc w:val="left"/>
        <w:rPr>
          <w:rFonts w:ascii="宋体" w:hAnsi="宋体" w:cs="等线"/>
          <w:b/>
          <w:sz w:val="24"/>
          <w:szCs w:val="24"/>
        </w:rPr>
      </w:pPr>
      <w:r>
        <w:rPr>
          <w:rFonts w:hint="eastAsia" w:ascii="宋体" w:hAnsi="宋体" w:cs="等线"/>
          <w:b/>
          <w:sz w:val="24"/>
          <w:szCs w:val="24"/>
        </w:rPr>
        <w:t>9.图书质量保证和退换货服务。</w:t>
      </w:r>
    </w:p>
    <w:p>
      <w:pPr>
        <w:widowControl/>
        <w:ind w:firstLine="480" w:firstLineChars="200"/>
        <w:jc w:val="left"/>
        <w:rPr>
          <w:rFonts w:hint="eastAsia" w:ascii="宋体" w:hAnsi="宋体" w:cs="等线"/>
          <w:sz w:val="24"/>
          <w:szCs w:val="24"/>
        </w:rPr>
      </w:pPr>
      <w:r>
        <w:rPr>
          <w:rFonts w:hint="eastAsia" w:ascii="宋体" w:hAnsi="宋体" w:cs="等线"/>
          <w:sz w:val="24"/>
          <w:szCs w:val="24"/>
        </w:rPr>
        <w:t>我司保证提供的图书均为港台各大型正规、权威的出版社出版的各学科图书，保证所提供的图书内容健康、学术研究性强。保证提供的所有图书均为合法的正版出版物，否则，由此造成的一切法律责任和后果均由我司承担，一经发现提供图书为盗版图书或其他非法出版物，采购人有权拒付全部书款，且对我司按照图书原价的10倍罚款。我司为采购人提供的图书出示加盖有出版社公章的供书清单。</w:t>
      </w:r>
    </w:p>
    <w:p>
      <w:pPr>
        <w:widowControl/>
        <w:ind w:firstLine="480" w:firstLineChars="200"/>
        <w:jc w:val="left"/>
        <w:rPr>
          <w:rFonts w:ascii="宋体" w:hAnsi="宋体" w:cs="等线"/>
          <w:sz w:val="24"/>
          <w:szCs w:val="24"/>
        </w:rPr>
      </w:pPr>
      <w:r>
        <w:rPr>
          <w:rFonts w:hint="eastAsia" w:ascii="宋体" w:hAnsi="宋体" w:cs="等线"/>
          <w:sz w:val="24"/>
          <w:szCs w:val="24"/>
        </w:rPr>
        <w:t>我司提供的书籍与采购方提供的图书订单相符合，保证绝不擅自更换或搭配未订购的图书。</w:t>
      </w:r>
      <w:r>
        <w:rPr>
          <w:rFonts w:hint="eastAsia" w:ascii="宋体" w:hAnsi="宋体"/>
          <w:sz w:val="24"/>
          <w:szCs w:val="24"/>
        </w:rPr>
        <w:t>我司保证所提供的书籍装订和印刷质量合格，确保不存在缺页、少页、倒页、个别页错字、别字、重影、开胶、倒装等质量问题，若出现上述问题，我司承诺无条件及时退换。</w:t>
      </w:r>
      <w:r>
        <w:rPr>
          <w:rFonts w:hint="eastAsia" w:ascii="宋体" w:hAnsi="宋体" w:cs="等线"/>
          <w:sz w:val="24"/>
          <w:szCs w:val="24"/>
        </w:rPr>
        <w:t>我司承诺所供货图书全部为全新正版的且符合招标文件要求的图书，所供货图书提供5年免费质保。</w:t>
      </w:r>
    </w:p>
    <w:p>
      <w:pPr>
        <w:widowControl/>
        <w:ind w:firstLine="480" w:firstLineChars="200"/>
        <w:jc w:val="left"/>
        <w:rPr>
          <w:rFonts w:ascii="宋体" w:hAnsi="宋体" w:cs="等线"/>
          <w:b/>
          <w:sz w:val="24"/>
          <w:szCs w:val="24"/>
        </w:rPr>
      </w:pPr>
      <w:r>
        <w:rPr>
          <w:rFonts w:hint="eastAsia" w:ascii="宋体" w:hAnsi="宋体" w:cs="等线"/>
          <w:b/>
          <w:sz w:val="24"/>
          <w:szCs w:val="24"/>
        </w:rPr>
        <w:t>10.图书验收</w:t>
      </w:r>
    </w:p>
    <w:p>
      <w:pPr>
        <w:widowControl/>
        <w:ind w:firstLine="480" w:firstLineChars="200"/>
        <w:jc w:val="left"/>
        <w:rPr>
          <w:rFonts w:ascii="宋体" w:hAnsi="宋体" w:cs="等线"/>
          <w:sz w:val="24"/>
          <w:szCs w:val="24"/>
        </w:rPr>
      </w:pPr>
      <w:r>
        <w:rPr>
          <w:rFonts w:hint="eastAsia" w:ascii="宋体" w:hAnsi="宋体" w:cs="等线"/>
          <w:sz w:val="24"/>
          <w:szCs w:val="24"/>
        </w:rPr>
        <w:t>我司有完善的验收图书流程，保证在递交每一批图书时，同时免费提供与货物数量、品种、价格相符的加盖我司印章的标准格式的发货清单，以便验收和报帐。发货清单包括该批图书总清单及包清单一式两份。清单内容包括批号、包号、ISBN、书名、单价、册数、码洋、折扣、实洋、及小计等。我司保证到书清单的清晰、明了、有序，便于验收、查对。我司负责验收图书过程中的账目清点，保证图书账目清晰、账书相符，账账相符，准确无误后打印分类统计表、总括账、清单，交付采购人进行登账。</w:t>
      </w:r>
    </w:p>
    <w:p>
      <w:pPr>
        <w:widowControl/>
        <w:ind w:firstLine="480" w:firstLineChars="200"/>
        <w:jc w:val="left"/>
        <w:rPr>
          <w:rFonts w:ascii="宋体" w:hAnsi="宋体" w:cs="等线"/>
          <w:b/>
          <w:sz w:val="24"/>
          <w:szCs w:val="24"/>
        </w:rPr>
      </w:pPr>
      <w:r>
        <w:rPr>
          <w:rFonts w:hint="eastAsia" w:ascii="宋体" w:hAnsi="宋体" w:cs="等线"/>
          <w:b/>
          <w:sz w:val="24"/>
          <w:szCs w:val="24"/>
        </w:rPr>
        <w:t>11.内部进口原版图书审读制度。</w:t>
      </w:r>
    </w:p>
    <w:p>
      <w:pPr>
        <w:widowControl/>
        <w:ind w:firstLine="480" w:firstLineChars="200"/>
        <w:jc w:val="left"/>
        <w:rPr>
          <w:rFonts w:ascii="宋体" w:hAnsi="宋体" w:cs="等线"/>
          <w:sz w:val="24"/>
          <w:szCs w:val="24"/>
        </w:rPr>
      </w:pPr>
      <w:r>
        <w:rPr>
          <w:rFonts w:hint="eastAsia" w:ascii="宋体" w:hAnsi="宋体" w:cs="等线"/>
          <w:sz w:val="24"/>
          <w:szCs w:val="24"/>
        </w:rPr>
        <w:t>我司内部建有完善的进口原版图书审读制度，保障图书馆收藏的政治安全。公司常年聘请政府相关领导，出版、新闻领域管理部门前领导组成专业的审读专家组，确保图书政治安全，合法、正规进口。我司从以下几个方面来保障图书审读制度完善：1.书目来源提供审读。对出版社，作者，出版内容进行预筛选；2.客户订单审读。客户订单无论来自我司提供目录，还是自寻目录，审读组专家提供审读意见；3.进口程序审读。向新闻主管机关，厦门市新闻出版局，福建省新闻出版局报审，备案；4.图书入库审查。图书进入厦门仓库，由审读组专家逐本审查，提供审读意见，根据意见向图书馆反馈，确定到馆图书种类。</w:t>
      </w:r>
    </w:p>
    <w:p>
      <w:pPr>
        <w:widowControl/>
        <w:ind w:firstLine="480" w:firstLineChars="200"/>
        <w:jc w:val="left"/>
        <w:rPr>
          <w:rFonts w:ascii="宋体" w:hAnsi="宋体" w:cs="等线"/>
          <w:b/>
          <w:sz w:val="24"/>
          <w:szCs w:val="24"/>
        </w:rPr>
      </w:pPr>
      <w:r>
        <w:rPr>
          <w:rFonts w:hint="eastAsia" w:ascii="宋体" w:hAnsi="宋体" w:cs="等线"/>
          <w:b/>
          <w:sz w:val="24"/>
          <w:szCs w:val="24"/>
        </w:rPr>
        <w:t>12．服务期满自评服务。</w:t>
      </w:r>
    </w:p>
    <w:p>
      <w:pPr>
        <w:widowControl/>
        <w:ind w:firstLine="480" w:firstLineChars="200"/>
        <w:jc w:val="left"/>
        <w:rPr>
          <w:rFonts w:ascii="宋体" w:hAnsi="宋体" w:cs="等线"/>
          <w:sz w:val="24"/>
          <w:szCs w:val="24"/>
        </w:rPr>
      </w:pPr>
      <w:r>
        <w:rPr>
          <w:rFonts w:hint="eastAsia" w:ascii="宋体" w:hAnsi="宋体" w:cs="等线"/>
          <w:sz w:val="24"/>
          <w:szCs w:val="24"/>
        </w:rPr>
        <w:t>我司须于合同执行完毕时提供详细的合同执行情况自评报告，包括但不限于合同期内订购种数、册数、总码洋、总实洋、不能提供品种数量、仍在执行中的订购品种数量，对不能供货的须附清单并详列原因，仍在执行中的采购品种须附清单及预估价等。</w:t>
      </w:r>
    </w:p>
    <w:p>
      <w:pPr>
        <w:widowControl/>
        <w:ind w:firstLine="480" w:firstLineChars="200"/>
        <w:jc w:val="left"/>
        <w:rPr>
          <w:rFonts w:ascii="宋体" w:hAnsi="宋体" w:cs="等线"/>
          <w:b/>
          <w:sz w:val="24"/>
          <w:szCs w:val="24"/>
        </w:rPr>
      </w:pPr>
      <w:r>
        <w:rPr>
          <w:rFonts w:hint="eastAsia" w:ascii="宋体" w:hAnsi="宋体" w:cs="等线"/>
          <w:b/>
          <w:sz w:val="24"/>
          <w:szCs w:val="24"/>
        </w:rPr>
        <w:t>13.价格稳定政策。</w:t>
      </w:r>
    </w:p>
    <w:p>
      <w:pPr>
        <w:widowControl/>
        <w:ind w:firstLine="480" w:firstLineChars="200"/>
        <w:jc w:val="left"/>
        <w:rPr>
          <w:rFonts w:ascii="宋体" w:hAnsi="宋体" w:cs="等线"/>
          <w:sz w:val="24"/>
          <w:szCs w:val="24"/>
        </w:rPr>
      </w:pPr>
      <w:r>
        <w:rPr>
          <w:rFonts w:hint="eastAsia" w:ascii="宋体" w:hAnsi="宋体" w:cs="等线"/>
          <w:sz w:val="24"/>
          <w:szCs w:val="24"/>
        </w:rPr>
        <w:t>我司在处理订单时，若出现实际书价超出订单报价15%，一律书面告知采购方，并出具相关证明，与采购方协商解决；若实际订书价格低于目录价格，则到书价按实际书价计算。</w:t>
      </w:r>
    </w:p>
    <w:p>
      <w:pPr>
        <w:widowControl/>
        <w:ind w:firstLine="480" w:firstLineChars="200"/>
        <w:jc w:val="left"/>
        <w:rPr>
          <w:rFonts w:ascii="宋体" w:hAnsi="宋体" w:cs="等线"/>
          <w:b/>
          <w:sz w:val="24"/>
          <w:szCs w:val="24"/>
        </w:rPr>
      </w:pPr>
      <w:r>
        <w:rPr>
          <w:rFonts w:hint="eastAsia" w:ascii="宋体" w:hAnsi="宋体" w:cs="等线"/>
          <w:b/>
          <w:sz w:val="24"/>
          <w:szCs w:val="24"/>
        </w:rPr>
        <w:t>14.专人服务及解决质量或操作问题的响应时间、解决问题时间、质保单位名称、地点。</w:t>
      </w:r>
    </w:p>
    <w:p>
      <w:pPr>
        <w:widowControl/>
        <w:ind w:firstLine="480" w:firstLineChars="200"/>
        <w:jc w:val="left"/>
        <w:rPr>
          <w:rFonts w:hint="eastAsia" w:ascii="宋体" w:hAnsi="宋体" w:eastAsia="宋体" w:cs="等线"/>
          <w:sz w:val="24"/>
          <w:szCs w:val="24"/>
          <w:lang w:eastAsia="zh-CN"/>
        </w:rPr>
      </w:pPr>
      <w:r>
        <w:rPr>
          <w:rFonts w:hint="eastAsia" w:ascii="宋体" w:hAnsi="宋体" w:cs="等线"/>
          <w:sz w:val="24"/>
          <w:szCs w:val="24"/>
        </w:rPr>
        <w:t>我司具备完善的售后质保服务方案，质保期为交货日期后五年，在质保期内，能在采购人提出货物报修2小时内给出具体响应与处理，24小时内到达现场进行处理，当问题无法及时解决时，我司保证提供备用图书服务直至问题图书修复、退换得到实质性处理，由质保问题所产生的所有费用由我司承担。质保单位名称：厦门外图集团有限公司</w:t>
      </w:r>
      <w:r>
        <w:rPr>
          <w:rFonts w:hint="eastAsia" w:ascii="宋体" w:hAnsi="宋体" w:cs="等线"/>
          <w:sz w:val="24"/>
          <w:szCs w:val="24"/>
          <w:lang w:eastAsia="zh-CN"/>
        </w:rPr>
        <w:t>。</w:t>
      </w:r>
    </w:p>
    <w:p>
      <w:pPr>
        <w:widowControl/>
        <w:ind w:firstLine="480" w:firstLineChars="200"/>
        <w:jc w:val="left"/>
        <w:rPr>
          <w:rFonts w:ascii="宋体" w:hAnsi="宋体" w:cs="等线"/>
          <w:b/>
          <w:sz w:val="24"/>
          <w:szCs w:val="24"/>
        </w:rPr>
      </w:pPr>
      <w:r>
        <w:rPr>
          <w:rFonts w:hint="eastAsia" w:ascii="宋体" w:hAnsi="宋体" w:cs="等线"/>
          <w:b/>
          <w:sz w:val="24"/>
          <w:szCs w:val="24"/>
        </w:rPr>
        <w:t>15.服务质量保证和数据准确和安全。</w:t>
      </w:r>
    </w:p>
    <w:p>
      <w:pPr>
        <w:widowControl/>
        <w:ind w:firstLine="480" w:firstLineChars="200"/>
        <w:jc w:val="left"/>
        <w:rPr>
          <w:rFonts w:ascii="宋体" w:hAnsi="宋体" w:cs="等线"/>
          <w:sz w:val="24"/>
          <w:szCs w:val="24"/>
        </w:rPr>
      </w:pPr>
      <w:r>
        <w:rPr>
          <w:rFonts w:hint="eastAsia" w:ascii="宋体" w:hAnsi="宋体" w:cs="等线"/>
          <w:sz w:val="24"/>
          <w:szCs w:val="24"/>
        </w:rPr>
        <w:t>如若中标，我司承诺在合作期间保证所有服务质量，保证合作期间诚信经营，绝不出现掺书、更改书价、在图书验收环节弄虚作假、转移或更换采购人书目订购数据、非法更改采购人采访系统数据、影响采购人年度采购计划等。若服务质量下降或者不能完全履行合同，采购方有权提出整改意见或者终止合同，我司承担所有责任及由此造成的所有后果和经济损失。同时，我司保证供货期间的图书数据准确与安全。</w:t>
      </w:r>
    </w:p>
    <w:p>
      <w:pPr>
        <w:widowControl/>
        <w:ind w:firstLine="480" w:firstLineChars="200"/>
        <w:jc w:val="left"/>
        <w:rPr>
          <w:rFonts w:ascii="宋体" w:hAnsi="宋体" w:cs="等线"/>
          <w:b/>
          <w:sz w:val="24"/>
          <w:szCs w:val="24"/>
        </w:rPr>
      </w:pPr>
      <w:r>
        <w:rPr>
          <w:rFonts w:hint="eastAsia" w:ascii="宋体" w:hAnsi="宋体" w:cs="等线"/>
          <w:b/>
          <w:sz w:val="24"/>
          <w:szCs w:val="24"/>
        </w:rPr>
        <w:t>16.付款方式和结算方式</w:t>
      </w:r>
    </w:p>
    <w:p>
      <w:pPr>
        <w:widowControl/>
        <w:ind w:firstLine="480" w:firstLineChars="200"/>
        <w:jc w:val="left"/>
        <w:rPr>
          <w:rFonts w:ascii="宋体" w:hAnsi="宋体" w:cs="等线"/>
          <w:sz w:val="24"/>
          <w:szCs w:val="24"/>
        </w:rPr>
      </w:pPr>
      <w:r>
        <w:rPr>
          <w:rFonts w:hint="eastAsia" w:ascii="宋体" w:hAnsi="宋体" w:cs="等线"/>
          <w:sz w:val="24"/>
          <w:szCs w:val="24"/>
        </w:rPr>
        <w:t>如若中标，我司与（采购单位）指定用户单位签订采购合同，经验收合格后按照以下方式付款。付款方法和条件：货物验收合格后，支付全部货款的 95％，质保期满后，支付剩余的 5％。</w:t>
      </w:r>
    </w:p>
    <w:p>
      <w:pPr>
        <w:widowControl/>
        <w:ind w:firstLine="480" w:firstLineChars="200"/>
        <w:jc w:val="left"/>
        <w:rPr>
          <w:rFonts w:ascii="宋体" w:hAnsi="宋体" w:cs="等线"/>
          <w:b/>
          <w:sz w:val="24"/>
          <w:szCs w:val="24"/>
        </w:rPr>
      </w:pPr>
      <w:r>
        <w:rPr>
          <w:rFonts w:hint="eastAsia" w:ascii="宋体" w:hAnsi="宋体" w:cs="等线"/>
          <w:b/>
          <w:sz w:val="24"/>
          <w:szCs w:val="24"/>
        </w:rPr>
        <w:t>17.图书编目加工验收细则</w:t>
      </w:r>
    </w:p>
    <w:p>
      <w:pPr>
        <w:ind w:firstLine="480" w:firstLineChars="200"/>
        <w:rPr>
          <w:rFonts w:ascii="宋体" w:hAnsi="宋体"/>
          <w:sz w:val="24"/>
        </w:rPr>
      </w:pPr>
      <w:r>
        <w:rPr>
          <w:rFonts w:hint="eastAsia" w:ascii="宋体" w:hAnsi="宋体"/>
          <w:sz w:val="24"/>
        </w:rPr>
        <w:t>为了提高图书编目加工质量和工作效率，双方沟通协商后，以自愿、公平、友好为原则，</w:t>
      </w:r>
      <w:r>
        <w:rPr>
          <w:rFonts w:hint="eastAsia" w:ascii="宋体" w:hAnsi="宋体"/>
          <w:sz w:val="24"/>
          <w:lang w:val="en-US" w:eastAsia="zh-CN"/>
        </w:rPr>
        <w:t>我司承诺</w:t>
      </w:r>
      <w:r>
        <w:rPr>
          <w:rFonts w:hint="eastAsia" w:ascii="宋体" w:hAnsi="宋体" w:cs="等线"/>
          <w:bCs/>
          <w:sz w:val="24"/>
        </w:rPr>
        <w:t>完全按照招标文件及图书馆相关规定执行</w:t>
      </w:r>
      <w:r>
        <w:rPr>
          <w:rFonts w:hint="eastAsia" w:ascii="宋体" w:hAnsi="宋体" w:cs="等线"/>
          <w:bCs/>
          <w:sz w:val="24"/>
          <w:lang w:val="en-US" w:eastAsia="zh-CN"/>
        </w:rPr>
        <w:t>图书编目加工验收工作。</w:t>
      </w:r>
    </w:p>
    <w:p>
      <w:pPr>
        <w:rPr>
          <w:rFonts w:ascii="宋体" w:hAnsi="宋体" w:cs="宋体"/>
          <w:b/>
          <w:bCs/>
          <w:sz w:val="32"/>
          <w:szCs w:val="32"/>
        </w:rPr>
      </w:pPr>
      <w:r>
        <w:rPr>
          <w:rFonts w:hint="eastAsia" w:ascii="宋体" w:hAnsi="宋体" w:cs="宋体"/>
          <w:b/>
          <w:bCs/>
          <w:sz w:val="32"/>
          <w:szCs w:val="32"/>
        </w:rPr>
        <w:br w:type="page"/>
      </w:r>
    </w:p>
    <w:p>
      <w:pPr>
        <w:outlineLvl w:val="0"/>
        <w:rPr>
          <w:rFonts w:ascii="宋体" w:cs="Times New Roman"/>
          <w:b/>
          <w:bCs/>
          <w:sz w:val="32"/>
          <w:szCs w:val="32"/>
        </w:rPr>
      </w:pPr>
      <w:r>
        <w:rPr>
          <w:rFonts w:hint="eastAsia" w:ascii="宋体" w:hAnsi="宋体" w:cs="宋体"/>
          <w:b/>
          <w:bCs/>
          <w:sz w:val="32"/>
          <w:szCs w:val="32"/>
        </w:rPr>
        <w:t>附件</w:t>
      </w:r>
      <w:r>
        <w:rPr>
          <w:rFonts w:ascii="宋体" w:hAnsi="宋体" w:cs="宋体"/>
          <w:b/>
          <w:bCs/>
          <w:sz w:val="32"/>
          <w:szCs w:val="32"/>
        </w:rPr>
        <w:t>4</w:t>
      </w:r>
      <w:r>
        <w:rPr>
          <w:rFonts w:hint="eastAsia" w:ascii="宋体" w:hAnsi="宋体" w:cs="宋体"/>
          <w:b/>
          <w:bCs/>
          <w:sz w:val="32"/>
          <w:szCs w:val="32"/>
        </w:rPr>
        <w:t>：郑州大学仪器设备初步验收单</w:t>
      </w:r>
    </w:p>
    <w:p>
      <w:pPr>
        <w:snapToGrid w:val="0"/>
        <w:spacing w:line="360" w:lineRule="auto"/>
        <w:rPr>
          <w:rFonts w:ascii="宋体" w:cs="Times New Roman"/>
          <w:b/>
          <w:bCs/>
          <w:sz w:val="36"/>
          <w:szCs w:val="36"/>
        </w:rPr>
      </w:pPr>
    </w:p>
    <w:p>
      <w:pPr>
        <w:ind w:firstLine="352" w:firstLineChars="147"/>
        <w:rPr>
          <w:rFonts w:ascii="宋体" w:cs="Times New Roman"/>
          <w:b/>
          <w:bCs/>
          <w:sz w:val="24"/>
          <w:szCs w:val="24"/>
        </w:rPr>
      </w:pPr>
      <w:r>
        <w:rPr>
          <w:rFonts w:ascii="宋体" w:hAnsi="宋体" w:cs="宋体"/>
          <w:b/>
          <w:bCs/>
          <w:sz w:val="24"/>
          <w:szCs w:val="24"/>
        </w:rPr>
        <w:t xml:space="preserve">No.                                                        </w:t>
      </w:r>
      <w:r>
        <w:rPr>
          <w:rFonts w:hint="eastAsia" w:ascii="宋体" w:hAnsi="宋体" w:cs="宋体"/>
          <w:b/>
          <w:bCs/>
          <w:sz w:val="24"/>
          <w:szCs w:val="24"/>
        </w:rPr>
        <w:t>年</w:t>
      </w:r>
      <w:r>
        <w:rPr>
          <w:rFonts w:hint="eastAsia" w:ascii="宋体" w:hAnsi="宋体" w:cs="宋体"/>
          <w:b/>
          <w:bCs/>
          <w:sz w:val="24"/>
          <w:szCs w:val="24"/>
          <w:lang w:val="en-US" w:eastAsia="zh-CN"/>
        </w:rPr>
        <w:t xml:space="preserve">   </w:t>
      </w:r>
      <w:r>
        <w:rPr>
          <w:rFonts w:hint="eastAsia" w:ascii="宋体" w:hAnsi="宋体" w:cs="宋体"/>
          <w:b/>
          <w:bCs/>
          <w:sz w:val="24"/>
          <w:szCs w:val="24"/>
        </w:rPr>
        <w:t>月</w:t>
      </w:r>
      <w:r>
        <w:rPr>
          <w:rFonts w:hint="eastAsia" w:ascii="宋体" w:hAnsi="宋体" w:cs="宋体"/>
          <w:b/>
          <w:bCs/>
          <w:sz w:val="24"/>
          <w:szCs w:val="24"/>
          <w:lang w:val="en-US" w:eastAsia="zh-CN"/>
        </w:rPr>
        <w:t xml:space="preserve">   </w:t>
      </w:r>
      <w:r>
        <w:rPr>
          <w:rFonts w:hint="eastAsia" w:ascii="宋体" w:hAnsi="宋体" w:cs="宋体"/>
          <w:b/>
          <w:bCs/>
          <w:sz w:val="24"/>
          <w:szCs w:val="24"/>
        </w:rPr>
        <w:t>日</w:t>
      </w:r>
    </w:p>
    <w:tbl>
      <w:tblPr>
        <w:tblStyle w:val="7"/>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16"/>
        <w:gridCol w:w="51"/>
        <w:gridCol w:w="1418"/>
        <w:gridCol w:w="21"/>
        <w:gridCol w:w="1249"/>
        <w:gridCol w:w="573"/>
        <w:gridCol w:w="567"/>
        <w:gridCol w:w="1134"/>
        <w:gridCol w:w="152"/>
        <w:gridCol w:w="131"/>
        <w:gridCol w:w="709"/>
        <w:gridCol w:w="85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8" w:type="dxa"/>
            <w:gridSpan w:val="3"/>
            <w:tcBorders>
              <w:top w:val="single" w:color="auto" w:sz="12" w:space="0"/>
              <w:left w:val="single" w:color="auto" w:sz="12" w:space="0"/>
              <w:bottom w:val="single" w:color="auto" w:sz="2" w:space="0"/>
              <w:right w:val="single" w:color="auto" w:sz="2" w:space="0"/>
            </w:tcBorders>
            <w:noWrap/>
            <w:vAlign w:val="center"/>
          </w:tcPr>
          <w:p>
            <w:pPr>
              <w:jc w:val="center"/>
              <w:rPr>
                <w:rFonts w:ascii="宋体" w:hAnsi="宋体" w:cs="Times New Roman"/>
                <w:sz w:val="24"/>
                <w:szCs w:val="24"/>
              </w:rPr>
            </w:pPr>
            <w:r>
              <w:rPr>
                <w:rFonts w:hint="eastAsia" w:ascii="宋体" w:hAnsi="宋体" w:cs="宋体"/>
                <w:sz w:val="24"/>
                <w:szCs w:val="24"/>
              </w:rPr>
              <w:t>使用单位</w:t>
            </w:r>
          </w:p>
        </w:tc>
        <w:tc>
          <w:tcPr>
            <w:tcW w:w="1439" w:type="dxa"/>
            <w:gridSpan w:val="2"/>
            <w:tcBorders>
              <w:top w:val="single" w:color="auto" w:sz="12" w:space="0"/>
              <w:left w:val="single" w:color="auto" w:sz="2" w:space="0"/>
              <w:bottom w:val="single" w:color="auto" w:sz="2" w:space="0"/>
              <w:right w:val="single" w:color="auto" w:sz="2" w:space="0"/>
            </w:tcBorders>
            <w:noWrap/>
            <w:vAlign w:val="center"/>
          </w:tcPr>
          <w:p>
            <w:pPr>
              <w:jc w:val="center"/>
              <w:rPr>
                <w:rFonts w:ascii="宋体" w:hAnsi="宋体" w:cs="Times New Roman"/>
                <w:sz w:val="24"/>
                <w:szCs w:val="24"/>
              </w:rPr>
            </w:pPr>
            <w:r>
              <w:rPr>
                <w:rFonts w:hint="eastAsia" w:ascii="宋体" w:hAnsi="宋体" w:cs="Times New Roman"/>
                <w:sz w:val="24"/>
                <w:szCs w:val="24"/>
              </w:rPr>
              <w:t>图书馆</w:t>
            </w:r>
          </w:p>
        </w:tc>
        <w:tc>
          <w:tcPr>
            <w:tcW w:w="1249" w:type="dxa"/>
            <w:tcBorders>
              <w:top w:val="single" w:color="auto" w:sz="12" w:space="0"/>
              <w:left w:val="single" w:color="auto" w:sz="2" w:space="0"/>
              <w:bottom w:val="single" w:color="auto" w:sz="2" w:space="0"/>
              <w:right w:val="single" w:color="auto" w:sz="2" w:space="0"/>
            </w:tcBorders>
            <w:noWrap/>
            <w:vAlign w:val="center"/>
          </w:tcPr>
          <w:p>
            <w:pPr>
              <w:jc w:val="center"/>
              <w:rPr>
                <w:rFonts w:ascii="宋体" w:hAnsi="宋体" w:cs="Times New Roman"/>
                <w:sz w:val="24"/>
                <w:szCs w:val="24"/>
              </w:rPr>
            </w:pPr>
            <w:r>
              <w:rPr>
                <w:rFonts w:hint="eastAsia" w:ascii="宋体" w:hAnsi="宋体" w:cs="宋体"/>
                <w:sz w:val="24"/>
                <w:szCs w:val="24"/>
              </w:rPr>
              <w:t>使用人</w:t>
            </w:r>
          </w:p>
        </w:tc>
        <w:tc>
          <w:tcPr>
            <w:tcW w:w="1140" w:type="dxa"/>
            <w:gridSpan w:val="2"/>
            <w:tcBorders>
              <w:top w:val="single" w:color="auto" w:sz="12" w:space="0"/>
              <w:left w:val="single" w:color="auto" w:sz="2" w:space="0"/>
              <w:bottom w:val="single" w:color="auto" w:sz="2" w:space="0"/>
              <w:right w:val="single" w:color="auto" w:sz="2" w:space="0"/>
            </w:tcBorders>
            <w:noWrap/>
            <w:vAlign w:val="center"/>
          </w:tcPr>
          <w:p>
            <w:pPr>
              <w:jc w:val="center"/>
              <w:rPr>
                <w:rFonts w:hint="eastAsia" w:ascii="宋体" w:hAnsi="宋体" w:cs="Times New Roman"/>
                <w:sz w:val="24"/>
                <w:szCs w:val="24"/>
              </w:rPr>
            </w:pPr>
            <w:r>
              <w:rPr>
                <w:rFonts w:hint="eastAsia" w:ascii="宋体" w:hAnsi="宋体" w:cs="Times New Roman"/>
                <w:sz w:val="24"/>
                <w:szCs w:val="24"/>
              </w:rPr>
              <w:t>李亚梅</w:t>
            </w:r>
          </w:p>
        </w:tc>
        <w:tc>
          <w:tcPr>
            <w:tcW w:w="1417" w:type="dxa"/>
            <w:gridSpan w:val="3"/>
            <w:tcBorders>
              <w:top w:val="single" w:color="auto" w:sz="12" w:space="0"/>
              <w:left w:val="single" w:color="auto" w:sz="2" w:space="0"/>
              <w:bottom w:val="single" w:color="auto" w:sz="2" w:space="0"/>
              <w:right w:val="single" w:color="auto" w:sz="2" w:space="0"/>
            </w:tcBorders>
            <w:noWrap/>
            <w:vAlign w:val="center"/>
          </w:tcPr>
          <w:p>
            <w:pPr>
              <w:jc w:val="center"/>
              <w:rPr>
                <w:rFonts w:ascii="宋体" w:hAnsi="宋体" w:cs="Times New Roman"/>
                <w:sz w:val="24"/>
                <w:szCs w:val="24"/>
              </w:rPr>
            </w:pPr>
            <w:r>
              <w:rPr>
                <w:rFonts w:hint="eastAsia" w:ascii="宋体" w:hAnsi="宋体" w:cs="宋体"/>
                <w:sz w:val="24"/>
                <w:szCs w:val="24"/>
              </w:rPr>
              <w:t>合同编号</w:t>
            </w:r>
          </w:p>
        </w:tc>
        <w:tc>
          <w:tcPr>
            <w:tcW w:w="3402" w:type="dxa"/>
            <w:gridSpan w:val="3"/>
            <w:tcBorders>
              <w:top w:val="single" w:color="auto" w:sz="12" w:space="0"/>
              <w:left w:val="single" w:color="auto" w:sz="2" w:space="0"/>
              <w:bottom w:val="single" w:color="auto" w:sz="2" w:space="0"/>
              <w:right w:val="single" w:color="auto" w:sz="12" w:space="0"/>
            </w:tcBorders>
            <w:noWrap/>
            <w:vAlign w:val="center"/>
          </w:tcPr>
          <w:p>
            <w:pPr>
              <w:jc w:val="center"/>
              <w:rPr>
                <w:rFonts w:ascii="宋体" w:hAnsi="宋体" w:cs="Times New Roman"/>
                <w:sz w:val="24"/>
                <w:szCs w:val="24"/>
              </w:rPr>
            </w:pPr>
            <w:r>
              <w:rPr>
                <w:rFonts w:hint="eastAsia" w:ascii="宋体" w:hAnsi="宋体" w:cs="Times New Roman"/>
                <w:sz w:val="24"/>
                <w:szCs w:val="24"/>
              </w:rPr>
              <w:t>郑大-询价-2021-0022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48" w:type="dxa"/>
            <w:gridSpan w:val="3"/>
            <w:tcBorders>
              <w:left w:val="single" w:color="auto" w:sz="12" w:space="0"/>
              <w:right w:val="single" w:color="auto" w:sz="2" w:space="0"/>
            </w:tcBorders>
            <w:noWrap/>
            <w:vAlign w:val="center"/>
          </w:tcPr>
          <w:p>
            <w:pPr>
              <w:jc w:val="center"/>
              <w:rPr>
                <w:rFonts w:ascii="宋体" w:hAnsi="宋体" w:cs="Times New Roman"/>
                <w:sz w:val="24"/>
                <w:szCs w:val="24"/>
              </w:rPr>
            </w:pPr>
            <w:r>
              <w:rPr>
                <w:rFonts w:hint="eastAsia" w:ascii="宋体" w:hAnsi="宋体" w:cs="宋体"/>
                <w:sz w:val="24"/>
                <w:szCs w:val="24"/>
              </w:rPr>
              <w:t>供货商</w:t>
            </w:r>
          </w:p>
        </w:tc>
        <w:tc>
          <w:tcPr>
            <w:tcW w:w="3828" w:type="dxa"/>
            <w:gridSpan w:val="5"/>
            <w:tcBorders>
              <w:left w:val="single" w:color="auto" w:sz="2" w:space="0"/>
              <w:right w:val="single" w:color="auto" w:sz="2" w:space="0"/>
            </w:tcBorders>
            <w:noWrap/>
            <w:vAlign w:val="center"/>
          </w:tcPr>
          <w:p>
            <w:pPr>
              <w:rPr>
                <w:rFonts w:ascii="宋体" w:hAnsi="宋体" w:cs="Times New Roman"/>
                <w:sz w:val="24"/>
                <w:szCs w:val="24"/>
              </w:rPr>
            </w:pPr>
            <w:r>
              <w:rPr>
                <w:rFonts w:hint="eastAsia" w:ascii="宋体" w:hAnsi="宋体" w:cs="Times New Roman"/>
                <w:sz w:val="24"/>
                <w:szCs w:val="24"/>
              </w:rPr>
              <w:t>厦门外图集团有限公司</w:t>
            </w:r>
          </w:p>
        </w:tc>
        <w:tc>
          <w:tcPr>
            <w:tcW w:w="1417" w:type="dxa"/>
            <w:gridSpan w:val="3"/>
            <w:tcBorders>
              <w:left w:val="single" w:color="auto" w:sz="2" w:space="0"/>
              <w:right w:val="single" w:color="auto" w:sz="2" w:space="0"/>
            </w:tcBorders>
            <w:noWrap/>
            <w:vAlign w:val="center"/>
          </w:tcPr>
          <w:p>
            <w:pPr>
              <w:jc w:val="center"/>
              <w:rPr>
                <w:rFonts w:ascii="宋体" w:hAnsi="宋体"/>
                <w:sz w:val="24"/>
                <w:szCs w:val="24"/>
              </w:rPr>
            </w:pPr>
            <w:r>
              <w:rPr>
                <w:rFonts w:hint="eastAsia" w:ascii="宋体" w:hAnsi="宋体" w:cs="宋体"/>
                <w:sz w:val="24"/>
                <w:szCs w:val="24"/>
              </w:rPr>
              <w:t>合同总金额</w:t>
            </w:r>
          </w:p>
        </w:tc>
        <w:tc>
          <w:tcPr>
            <w:tcW w:w="3402" w:type="dxa"/>
            <w:gridSpan w:val="3"/>
            <w:tcBorders>
              <w:left w:val="single" w:color="auto" w:sz="2" w:space="0"/>
              <w:right w:val="single" w:color="auto" w:sz="12" w:space="0"/>
            </w:tcBorders>
            <w:noWrap/>
            <w:vAlign w:val="center"/>
          </w:tcPr>
          <w:p>
            <w:pPr>
              <w:tabs>
                <w:tab w:val="left" w:pos="2880"/>
              </w:tabs>
              <w:snapToGrid w:val="0"/>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95" w:type="dxa"/>
            <w:gridSpan w:val="14"/>
            <w:tcBorders>
              <w:left w:val="single" w:color="auto" w:sz="12" w:space="0"/>
              <w:right w:val="single" w:color="auto" w:sz="12" w:space="0"/>
            </w:tcBorders>
            <w:noWrap/>
            <w:vAlign w:val="center"/>
          </w:tcPr>
          <w:p>
            <w:pPr>
              <w:jc w:val="center"/>
              <w:rPr>
                <w:rFonts w:ascii="宋体" w:hAnsi="宋体" w:cs="Times New Roman"/>
                <w:sz w:val="24"/>
                <w:szCs w:val="24"/>
              </w:rPr>
            </w:pPr>
            <w:r>
              <w:rPr>
                <w:rFonts w:hint="eastAsia" w:ascii="宋体" w:hAnsi="宋体" w:cs="宋体"/>
                <w:sz w:val="24"/>
                <w:szCs w:val="24"/>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1" w:type="dxa"/>
            <w:tcBorders>
              <w:left w:val="single" w:color="auto" w:sz="12" w:space="0"/>
              <w:bottom w:val="single" w:color="auto" w:sz="2" w:space="0"/>
              <w:right w:val="single" w:color="auto" w:sz="2" w:space="0"/>
            </w:tcBorders>
            <w:noWrap/>
            <w:vAlign w:val="center"/>
          </w:tcPr>
          <w:p>
            <w:pPr>
              <w:jc w:val="center"/>
              <w:rPr>
                <w:rFonts w:ascii="宋体" w:hAnsi="宋体" w:cs="Times New Roman"/>
                <w:b/>
                <w:bCs/>
                <w:sz w:val="24"/>
                <w:szCs w:val="24"/>
              </w:rPr>
            </w:pPr>
            <w:r>
              <w:rPr>
                <w:rFonts w:hint="eastAsia" w:ascii="宋体" w:hAnsi="宋体" w:cs="宋体"/>
                <w:b/>
                <w:bCs/>
                <w:sz w:val="24"/>
                <w:szCs w:val="24"/>
              </w:rPr>
              <w:t>序号</w:t>
            </w:r>
          </w:p>
        </w:tc>
        <w:tc>
          <w:tcPr>
            <w:tcW w:w="1985" w:type="dxa"/>
            <w:gridSpan w:val="3"/>
            <w:tcBorders>
              <w:left w:val="single" w:color="auto" w:sz="2" w:space="0"/>
              <w:bottom w:val="single" w:color="auto" w:sz="2" w:space="0"/>
              <w:right w:val="single" w:color="auto" w:sz="2" w:space="0"/>
            </w:tcBorders>
            <w:noWrap/>
            <w:vAlign w:val="center"/>
          </w:tcPr>
          <w:p>
            <w:pPr>
              <w:jc w:val="center"/>
              <w:rPr>
                <w:rFonts w:ascii="宋体" w:hAnsi="宋体" w:cs="Times New Roman"/>
                <w:b/>
                <w:bCs/>
                <w:sz w:val="24"/>
                <w:szCs w:val="24"/>
              </w:rPr>
            </w:pPr>
            <w:r>
              <w:rPr>
                <w:rFonts w:hint="eastAsia" w:ascii="宋体" w:hAnsi="宋体" w:cs="宋体"/>
                <w:b/>
                <w:bCs/>
                <w:sz w:val="24"/>
                <w:szCs w:val="24"/>
              </w:rPr>
              <w:t>品名</w:t>
            </w:r>
          </w:p>
        </w:tc>
        <w:tc>
          <w:tcPr>
            <w:tcW w:w="1843" w:type="dxa"/>
            <w:gridSpan w:val="3"/>
            <w:tcBorders>
              <w:left w:val="single" w:color="auto" w:sz="2" w:space="0"/>
              <w:bottom w:val="single" w:color="auto" w:sz="2" w:space="0"/>
              <w:right w:val="single" w:color="auto" w:sz="2" w:space="0"/>
            </w:tcBorders>
            <w:noWrap/>
            <w:vAlign w:val="center"/>
          </w:tcPr>
          <w:p>
            <w:pPr>
              <w:jc w:val="center"/>
              <w:rPr>
                <w:rFonts w:ascii="宋体" w:hAnsi="宋体" w:cs="Times New Roman"/>
                <w:b/>
                <w:bCs/>
                <w:sz w:val="24"/>
                <w:szCs w:val="24"/>
              </w:rPr>
            </w:pPr>
            <w:r>
              <w:rPr>
                <w:rFonts w:hint="eastAsia" w:ascii="宋体" w:hAnsi="宋体" w:cs="宋体"/>
                <w:b/>
                <w:bCs/>
                <w:sz w:val="24"/>
                <w:szCs w:val="24"/>
              </w:rPr>
              <w:t>技术参数</w:t>
            </w:r>
          </w:p>
          <w:p>
            <w:pPr>
              <w:jc w:val="center"/>
              <w:rPr>
                <w:rFonts w:ascii="宋体" w:hAnsi="宋体" w:cs="Times New Roman"/>
                <w:b/>
                <w:bCs/>
                <w:sz w:val="24"/>
                <w:szCs w:val="24"/>
              </w:rPr>
            </w:pPr>
            <w:r>
              <w:rPr>
                <w:rFonts w:hint="eastAsia" w:ascii="宋体" w:hAnsi="宋体" w:cs="宋体"/>
                <w:b/>
                <w:bCs/>
                <w:sz w:val="24"/>
                <w:szCs w:val="24"/>
              </w:rPr>
              <w:t>（规格型号）</w:t>
            </w:r>
          </w:p>
        </w:tc>
        <w:tc>
          <w:tcPr>
            <w:tcW w:w="1701" w:type="dxa"/>
            <w:gridSpan w:val="2"/>
            <w:tcBorders>
              <w:left w:val="single" w:color="auto" w:sz="2" w:space="0"/>
              <w:bottom w:val="single" w:color="auto" w:sz="2" w:space="0"/>
              <w:right w:val="single" w:color="auto" w:sz="2" w:space="0"/>
            </w:tcBorders>
            <w:noWrap/>
            <w:vAlign w:val="center"/>
          </w:tcPr>
          <w:p>
            <w:pPr>
              <w:jc w:val="center"/>
              <w:rPr>
                <w:rFonts w:ascii="宋体" w:hAnsi="宋体" w:cs="Times New Roman"/>
                <w:b/>
                <w:bCs/>
                <w:sz w:val="24"/>
                <w:szCs w:val="24"/>
              </w:rPr>
            </w:pPr>
            <w:r>
              <w:rPr>
                <w:rFonts w:hint="eastAsia" w:ascii="宋体" w:hAnsi="宋体" w:cs="宋体"/>
                <w:b/>
                <w:bCs/>
                <w:sz w:val="24"/>
                <w:szCs w:val="24"/>
              </w:rPr>
              <w:t>生产厂家（产地）</w:t>
            </w:r>
          </w:p>
        </w:tc>
        <w:tc>
          <w:tcPr>
            <w:tcW w:w="992" w:type="dxa"/>
            <w:gridSpan w:val="3"/>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Times New Roman"/>
                <w:b/>
                <w:bCs/>
                <w:sz w:val="24"/>
                <w:szCs w:val="24"/>
              </w:rPr>
            </w:pPr>
            <w:r>
              <w:rPr>
                <w:rFonts w:hint="eastAsia" w:ascii="宋体" w:hAnsi="宋体" w:cs="宋体"/>
                <w:b/>
                <w:bCs/>
                <w:sz w:val="24"/>
                <w:szCs w:val="24"/>
              </w:rPr>
              <w:t>数量</w:t>
            </w:r>
          </w:p>
        </w:tc>
        <w:tc>
          <w:tcPr>
            <w:tcW w:w="850" w:type="dxa"/>
            <w:tcBorders>
              <w:top w:val="single" w:color="auto" w:sz="2" w:space="0"/>
              <w:left w:val="single" w:color="auto" w:sz="2" w:space="0"/>
              <w:bottom w:val="single" w:color="auto" w:sz="2" w:space="0"/>
            </w:tcBorders>
            <w:noWrap/>
            <w:vAlign w:val="center"/>
          </w:tcPr>
          <w:p>
            <w:pPr>
              <w:jc w:val="center"/>
              <w:rPr>
                <w:rFonts w:ascii="宋体" w:hAnsi="宋体" w:cs="Times New Roman"/>
                <w:b/>
                <w:bCs/>
                <w:sz w:val="24"/>
                <w:szCs w:val="24"/>
              </w:rPr>
            </w:pPr>
            <w:r>
              <w:rPr>
                <w:rFonts w:hint="eastAsia" w:ascii="宋体" w:hAnsi="宋体" w:cs="宋体"/>
                <w:b/>
                <w:bCs/>
                <w:sz w:val="24"/>
                <w:szCs w:val="24"/>
              </w:rPr>
              <w:t>单位</w:t>
            </w:r>
          </w:p>
        </w:tc>
        <w:tc>
          <w:tcPr>
            <w:tcW w:w="1843" w:type="dxa"/>
            <w:tcBorders>
              <w:bottom w:val="single" w:color="auto" w:sz="2" w:space="0"/>
              <w:right w:val="single" w:color="auto" w:sz="12" w:space="0"/>
            </w:tcBorders>
            <w:noWrap/>
            <w:vAlign w:val="center"/>
          </w:tcPr>
          <w:p>
            <w:pPr>
              <w:jc w:val="center"/>
              <w:rPr>
                <w:rFonts w:ascii="宋体" w:hAnsi="宋体" w:cs="Times New Roman"/>
                <w:b/>
                <w:bCs/>
                <w:sz w:val="24"/>
                <w:szCs w:val="24"/>
              </w:rPr>
            </w:pPr>
            <w:r>
              <w:rPr>
                <w:rFonts w:hint="eastAsia" w:ascii="宋体" w:hAnsi="宋体" w:cs="宋体"/>
                <w:b/>
                <w:bCs/>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81" w:type="dxa"/>
            <w:tcBorders>
              <w:top w:val="single" w:color="auto" w:sz="2" w:space="0"/>
              <w:left w:val="single" w:color="auto" w:sz="1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r>
              <w:rPr>
                <w:rFonts w:hint="eastAsia" w:ascii="宋体" w:hAnsi="宋体" w:cs="宋体"/>
                <w:sz w:val="24"/>
                <w:szCs w:val="24"/>
              </w:rPr>
              <w:t>1</w:t>
            </w:r>
          </w:p>
        </w:tc>
        <w:tc>
          <w:tcPr>
            <w:tcW w:w="1985" w:type="dxa"/>
            <w:gridSpan w:val="3"/>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宋体" w:hAnsi="宋体" w:cs="宋体"/>
                <w:kern w:val="0"/>
                <w:sz w:val="24"/>
                <w:szCs w:val="24"/>
              </w:rPr>
            </w:pPr>
            <w:r>
              <w:rPr>
                <w:rFonts w:hint="eastAsia" w:ascii="宋体" w:hAnsi="宋体" w:cs="宋体"/>
                <w:kern w:val="0"/>
                <w:sz w:val="24"/>
                <w:szCs w:val="24"/>
              </w:rPr>
              <w:t>港台图书</w:t>
            </w:r>
          </w:p>
        </w:tc>
        <w:tc>
          <w:tcPr>
            <w:tcW w:w="1843" w:type="dxa"/>
            <w:gridSpan w:val="3"/>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详见清单</w:t>
            </w:r>
          </w:p>
        </w:tc>
        <w:tc>
          <w:tcPr>
            <w:tcW w:w="1701" w:type="dxa"/>
            <w:gridSpan w:val="2"/>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宋体" w:hAnsi="宋体" w:cs="Tahoma"/>
                <w:color w:val="000000"/>
                <w:sz w:val="24"/>
                <w:szCs w:val="24"/>
              </w:rPr>
            </w:pPr>
            <w:r>
              <w:rPr>
                <w:rFonts w:hint="eastAsia" w:ascii="宋体" w:hAnsi="宋体" w:cs="Tahoma"/>
                <w:color w:val="000000"/>
                <w:sz w:val="24"/>
                <w:szCs w:val="24"/>
              </w:rPr>
              <w:t>港台出版社</w:t>
            </w:r>
          </w:p>
        </w:tc>
        <w:tc>
          <w:tcPr>
            <w:tcW w:w="992" w:type="dxa"/>
            <w:gridSpan w:val="3"/>
            <w:tcBorders>
              <w:top w:val="single" w:color="auto" w:sz="2" w:space="0"/>
              <w:left w:val="single" w:color="auto" w:sz="2" w:space="0"/>
              <w:bottom w:val="single" w:color="auto" w:sz="2" w:space="0"/>
              <w:right w:val="single" w:color="auto" w:sz="2" w:space="0"/>
            </w:tcBorders>
            <w:noWrap/>
            <w:vAlign w:val="center"/>
          </w:tcPr>
          <w:p>
            <w:pPr>
              <w:snapToGrid w:val="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1419</w:t>
            </w:r>
          </w:p>
        </w:tc>
        <w:tc>
          <w:tcPr>
            <w:tcW w:w="850" w:type="dxa"/>
            <w:tcBorders>
              <w:top w:val="single" w:color="auto" w:sz="2" w:space="0"/>
              <w:left w:val="single" w:color="auto" w:sz="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r>
              <w:rPr>
                <w:rFonts w:hint="eastAsia" w:ascii="宋体" w:hAnsi="宋体" w:cs="宋体"/>
                <w:sz w:val="24"/>
                <w:szCs w:val="24"/>
              </w:rPr>
              <w:t>册</w:t>
            </w:r>
          </w:p>
        </w:tc>
        <w:tc>
          <w:tcPr>
            <w:tcW w:w="1843" w:type="dxa"/>
            <w:tcBorders>
              <w:top w:val="single" w:color="auto" w:sz="2" w:space="0"/>
              <w:left w:val="single" w:color="auto" w:sz="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81" w:type="dxa"/>
            <w:tcBorders>
              <w:top w:val="single" w:color="auto" w:sz="2" w:space="0"/>
              <w:left w:val="single" w:color="auto" w:sz="1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p>
        </w:tc>
        <w:tc>
          <w:tcPr>
            <w:tcW w:w="1985" w:type="dxa"/>
            <w:gridSpan w:val="3"/>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宋体" w:hAnsi="宋体" w:cs="宋体"/>
                <w:kern w:val="0"/>
                <w:sz w:val="24"/>
                <w:szCs w:val="24"/>
              </w:rPr>
            </w:pPr>
          </w:p>
        </w:tc>
        <w:tc>
          <w:tcPr>
            <w:tcW w:w="1843" w:type="dxa"/>
            <w:gridSpan w:val="3"/>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snapToGrid w:val="0"/>
              <w:jc w:val="center"/>
              <w:rPr>
                <w:rFonts w:ascii="宋体" w:hAnsi="宋体" w:cs="宋体"/>
                <w:kern w:val="0"/>
                <w:sz w:val="24"/>
                <w:szCs w:val="24"/>
              </w:rPr>
            </w:pPr>
          </w:p>
        </w:tc>
        <w:tc>
          <w:tcPr>
            <w:tcW w:w="1701" w:type="dxa"/>
            <w:gridSpan w:val="2"/>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宋体" w:hAnsi="宋体" w:cs="Tahoma"/>
                <w:color w:val="000000"/>
                <w:sz w:val="24"/>
                <w:szCs w:val="24"/>
              </w:rPr>
            </w:pPr>
          </w:p>
        </w:tc>
        <w:tc>
          <w:tcPr>
            <w:tcW w:w="992" w:type="dxa"/>
            <w:gridSpan w:val="3"/>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宋体" w:hAnsi="宋体" w:cs="宋体"/>
                <w:kern w:val="0"/>
                <w:sz w:val="24"/>
                <w:szCs w:val="24"/>
              </w:rPr>
            </w:pPr>
          </w:p>
        </w:tc>
        <w:tc>
          <w:tcPr>
            <w:tcW w:w="850" w:type="dxa"/>
            <w:tcBorders>
              <w:top w:val="single" w:color="auto" w:sz="2" w:space="0"/>
              <w:left w:val="single" w:color="auto" w:sz="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p>
        </w:tc>
        <w:tc>
          <w:tcPr>
            <w:tcW w:w="1843" w:type="dxa"/>
            <w:tcBorders>
              <w:top w:val="single" w:color="auto" w:sz="2" w:space="0"/>
              <w:left w:val="single" w:color="auto" w:sz="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81" w:type="dxa"/>
            <w:tcBorders>
              <w:top w:val="single" w:color="auto" w:sz="2" w:space="0"/>
              <w:left w:val="single" w:color="auto" w:sz="1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p>
        </w:tc>
        <w:tc>
          <w:tcPr>
            <w:tcW w:w="1985" w:type="dxa"/>
            <w:gridSpan w:val="3"/>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宋体" w:hAnsi="宋体" w:cs="宋体"/>
                <w:kern w:val="0"/>
                <w:sz w:val="24"/>
                <w:szCs w:val="24"/>
              </w:rPr>
            </w:pPr>
          </w:p>
        </w:tc>
        <w:tc>
          <w:tcPr>
            <w:tcW w:w="1843" w:type="dxa"/>
            <w:gridSpan w:val="3"/>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snapToGrid w:val="0"/>
              <w:jc w:val="center"/>
              <w:rPr>
                <w:rFonts w:ascii="宋体" w:hAnsi="宋体" w:cs="宋体"/>
                <w:kern w:val="0"/>
                <w:sz w:val="24"/>
                <w:szCs w:val="24"/>
              </w:rPr>
            </w:pPr>
          </w:p>
        </w:tc>
        <w:tc>
          <w:tcPr>
            <w:tcW w:w="1701" w:type="dxa"/>
            <w:gridSpan w:val="2"/>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宋体" w:hAnsi="宋体" w:cs="Tahoma"/>
                <w:color w:val="000000"/>
                <w:sz w:val="24"/>
                <w:szCs w:val="24"/>
              </w:rPr>
            </w:pPr>
          </w:p>
        </w:tc>
        <w:tc>
          <w:tcPr>
            <w:tcW w:w="992" w:type="dxa"/>
            <w:gridSpan w:val="3"/>
            <w:tcBorders>
              <w:top w:val="single" w:color="auto" w:sz="2" w:space="0"/>
              <w:left w:val="single" w:color="auto" w:sz="2" w:space="0"/>
              <w:bottom w:val="single" w:color="auto" w:sz="2" w:space="0"/>
              <w:right w:val="single" w:color="auto" w:sz="2" w:space="0"/>
            </w:tcBorders>
            <w:noWrap/>
            <w:vAlign w:val="center"/>
          </w:tcPr>
          <w:p>
            <w:pPr>
              <w:snapToGrid w:val="0"/>
              <w:jc w:val="center"/>
              <w:rPr>
                <w:rFonts w:ascii="宋体" w:hAnsi="宋体" w:cs="宋体"/>
                <w:kern w:val="0"/>
                <w:sz w:val="24"/>
                <w:szCs w:val="24"/>
              </w:rPr>
            </w:pPr>
          </w:p>
        </w:tc>
        <w:tc>
          <w:tcPr>
            <w:tcW w:w="850" w:type="dxa"/>
            <w:tcBorders>
              <w:top w:val="single" w:color="auto" w:sz="2" w:space="0"/>
              <w:left w:val="single" w:color="auto" w:sz="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p>
        </w:tc>
        <w:tc>
          <w:tcPr>
            <w:tcW w:w="1843" w:type="dxa"/>
            <w:tcBorders>
              <w:top w:val="single" w:color="auto" w:sz="2" w:space="0"/>
              <w:left w:val="single" w:color="auto" w:sz="2" w:space="0"/>
              <w:bottom w:val="single" w:color="auto" w:sz="2" w:space="0"/>
              <w:right w:val="single" w:color="auto" w:sz="2" w:space="0"/>
            </w:tcBorders>
            <w:noWrap/>
            <w:vAlign w:val="center"/>
          </w:tcPr>
          <w:p>
            <w:pPr>
              <w:tabs>
                <w:tab w:val="left" w:pos="2880"/>
              </w:tabs>
              <w:snapToGrid w:val="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81" w:type="dxa"/>
            <w:vMerge w:val="restart"/>
            <w:tcBorders>
              <w:top w:val="single" w:color="auto" w:sz="12" w:space="0"/>
              <w:left w:val="single" w:color="auto" w:sz="12" w:space="0"/>
            </w:tcBorders>
            <w:noWrap/>
            <w:textDirection w:val="tbRlV"/>
            <w:vAlign w:val="center"/>
          </w:tcPr>
          <w:p>
            <w:pPr>
              <w:ind w:left="113" w:right="113"/>
              <w:jc w:val="center"/>
              <w:rPr>
                <w:rFonts w:ascii="宋体" w:hAnsi="宋体" w:cs="Times New Roman"/>
                <w:sz w:val="24"/>
                <w:szCs w:val="24"/>
              </w:rPr>
            </w:pPr>
            <w:r>
              <w:rPr>
                <w:rFonts w:hint="eastAsia" w:ascii="宋体" w:hAnsi="宋体" w:cs="宋体"/>
                <w:sz w:val="24"/>
                <w:szCs w:val="24"/>
              </w:rPr>
              <w:t>实物验收情况</w:t>
            </w:r>
          </w:p>
        </w:tc>
        <w:tc>
          <w:tcPr>
            <w:tcW w:w="9214" w:type="dxa"/>
            <w:gridSpan w:val="13"/>
            <w:tcBorders>
              <w:top w:val="single" w:color="auto" w:sz="12" w:space="0"/>
              <w:right w:val="single" w:color="auto" w:sz="12" w:space="0"/>
            </w:tcBorders>
            <w:noWrap/>
          </w:tcPr>
          <w:p>
            <w:pPr>
              <w:spacing w:line="276" w:lineRule="auto"/>
              <w:rPr>
                <w:rFonts w:ascii="宋体" w:hAnsi="宋体" w:cs="Times New Roman"/>
                <w:sz w:val="24"/>
                <w:szCs w:val="24"/>
              </w:rPr>
            </w:pPr>
            <w:r>
              <w:rPr>
                <w:rFonts w:hint="eastAsia" w:ascii="宋体" w:hAnsi="宋体" w:cs="宋体"/>
                <w:sz w:val="24"/>
                <w:szCs w:val="24"/>
              </w:rPr>
              <w:t>外观质量（有无残损，程度如何）。</w:t>
            </w:r>
          </w:p>
          <w:p>
            <w:pPr>
              <w:spacing w:line="276" w:lineRule="auto"/>
              <w:ind w:firstLine="480" w:firstLineChars="200"/>
              <w:rPr>
                <w:rFonts w:ascii="宋体" w:hAnsi="宋体" w:cs="Times New Roman"/>
                <w:sz w:val="24"/>
                <w:szCs w:val="24"/>
              </w:rPr>
            </w:pPr>
            <w:r>
              <w:rPr>
                <w:rFonts w:hint="eastAsia" w:ascii="宋体" w:hAnsi="宋体" w:cs="Times New Roman"/>
                <w:sz w:val="24"/>
                <w:szCs w:val="24"/>
              </w:rPr>
              <w:t>包装整洁，无破损</w:t>
            </w:r>
            <w:r>
              <w:rPr>
                <w:rFonts w:hint="eastAsia" w:ascii="宋体" w:hAnsi="宋体"/>
                <w:sz w:val="24"/>
                <w:szCs w:val="24"/>
              </w:rPr>
              <w:t>；包装采取了防水、防潮、防震和防止其他损坏的必要保护措施，且能够经受多次搬运及装卸；每包重量没有超过</w:t>
            </w:r>
            <w:r>
              <w:rPr>
                <w:rFonts w:ascii="宋体" w:hAnsi="宋体"/>
                <w:sz w:val="24"/>
                <w:szCs w:val="24"/>
              </w:rPr>
              <w:t>12.5kg</w:t>
            </w:r>
            <w:r>
              <w:rPr>
                <w:rFonts w:hint="eastAsia" w:ascii="宋体" w:hAnsi="宋体"/>
                <w:sz w:val="24"/>
                <w:szCs w:val="24"/>
              </w:rPr>
              <w:t>；每个包装附有本包装的书目清单；每包装外粘贴有清晰牢固的发货单。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81" w:type="dxa"/>
            <w:vMerge w:val="continue"/>
            <w:tcBorders>
              <w:left w:val="single" w:color="auto" w:sz="12" w:space="0"/>
            </w:tcBorders>
            <w:noWrap/>
            <w:vAlign w:val="center"/>
          </w:tcPr>
          <w:p>
            <w:pPr>
              <w:jc w:val="center"/>
              <w:rPr>
                <w:rFonts w:ascii="宋体" w:hAnsi="宋体" w:cs="Times New Roman"/>
                <w:sz w:val="24"/>
                <w:szCs w:val="24"/>
              </w:rPr>
            </w:pPr>
          </w:p>
        </w:tc>
        <w:tc>
          <w:tcPr>
            <w:tcW w:w="9214" w:type="dxa"/>
            <w:gridSpan w:val="13"/>
            <w:tcBorders>
              <w:right w:val="single" w:color="auto" w:sz="12" w:space="0"/>
            </w:tcBorders>
            <w:noWrap/>
          </w:tcPr>
          <w:p>
            <w:pPr>
              <w:spacing w:line="276" w:lineRule="auto"/>
              <w:rPr>
                <w:rFonts w:ascii="宋体" w:hAnsi="宋体" w:cs="宋体"/>
                <w:sz w:val="24"/>
                <w:szCs w:val="24"/>
              </w:rPr>
            </w:pPr>
            <w:r>
              <w:rPr>
                <w:rFonts w:hint="eastAsia" w:ascii="宋体" w:hAnsi="宋体" w:cs="宋体"/>
                <w:sz w:val="24"/>
                <w:szCs w:val="24"/>
              </w:rPr>
              <w:t>清点数量（主机、配件、型号、规格、产地是否与招投标文件、合同、发票、装箱单的数量相同，若有出入，说明缺件名称、规格、数量、金额）。</w:t>
            </w:r>
          </w:p>
          <w:p>
            <w:pPr>
              <w:spacing w:line="276" w:lineRule="auto"/>
              <w:rPr>
                <w:rFonts w:ascii="宋体" w:hAnsi="宋体" w:cs="Times New Roman"/>
                <w:sz w:val="24"/>
                <w:szCs w:val="24"/>
              </w:rPr>
            </w:pPr>
            <w:r>
              <w:rPr>
                <w:rFonts w:hint="eastAsia" w:ascii="宋体" w:hAnsi="宋体" w:cs="宋体"/>
                <w:sz w:val="24"/>
                <w:szCs w:val="24"/>
              </w:rPr>
              <w:t>共有</w:t>
            </w:r>
            <w:r>
              <w:rPr>
                <w:rFonts w:hint="eastAsia" w:ascii="宋体" w:hAnsi="宋体" w:cs="宋体"/>
                <w:sz w:val="24"/>
                <w:szCs w:val="24"/>
                <w:highlight w:val="none"/>
                <w:lang w:val="en-US" w:eastAsia="zh-CN"/>
              </w:rPr>
              <w:t>1419</w:t>
            </w:r>
            <w:r>
              <w:rPr>
                <w:rFonts w:hint="eastAsia" w:ascii="宋体" w:hAnsi="宋体" w:cs="宋体"/>
                <w:sz w:val="24"/>
                <w:szCs w:val="24"/>
              </w:rPr>
              <w:t>册，金额为</w:t>
            </w:r>
            <w:r>
              <w:rPr>
                <w:rFonts w:hint="eastAsia" w:ascii="宋体" w:hAnsi="宋体" w:cs="宋体"/>
                <w:sz w:val="24"/>
                <w:szCs w:val="24"/>
                <w:lang w:val="en-US" w:eastAsia="zh-CN"/>
              </w:rPr>
              <w:t>2</w:t>
            </w:r>
            <w:r>
              <w:rPr>
                <w:rFonts w:hint="eastAsia" w:ascii="宋体" w:hAnsi="宋体" w:cs="宋体"/>
                <w:sz w:val="24"/>
                <w:szCs w:val="24"/>
              </w:rPr>
              <w:t>0万元，与招投标文件、合同、发票、装箱单的数量相同。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81" w:type="dxa"/>
            <w:vMerge w:val="continue"/>
            <w:tcBorders>
              <w:left w:val="single" w:color="auto" w:sz="12" w:space="0"/>
            </w:tcBorders>
            <w:noWrap/>
            <w:vAlign w:val="center"/>
          </w:tcPr>
          <w:p>
            <w:pPr>
              <w:jc w:val="center"/>
              <w:rPr>
                <w:rFonts w:ascii="宋体" w:hAnsi="宋体" w:cs="Times New Roman"/>
                <w:sz w:val="24"/>
                <w:szCs w:val="24"/>
              </w:rPr>
            </w:pPr>
          </w:p>
        </w:tc>
        <w:tc>
          <w:tcPr>
            <w:tcW w:w="9214" w:type="dxa"/>
            <w:gridSpan w:val="13"/>
            <w:tcBorders>
              <w:right w:val="single" w:color="auto" w:sz="12" w:space="0"/>
            </w:tcBorders>
            <w:noWrap/>
          </w:tcPr>
          <w:p>
            <w:pPr>
              <w:spacing w:line="276" w:lineRule="auto"/>
              <w:rPr>
                <w:rFonts w:ascii="宋体" w:hAnsi="宋体" w:cs="宋体"/>
                <w:sz w:val="24"/>
                <w:szCs w:val="24"/>
              </w:rPr>
            </w:pPr>
            <w:r>
              <w:rPr>
                <w:rFonts w:hint="eastAsia" w:ascii="宋体" w:hAnsi="宋体" w:cs="宋体"/>
                <w:sz w:val="24"/>
                <w:szCs w:val="24"/>
              </w:rPr>
              <w:t>仪器设备安装调试及使用人员培训情况（是否完成整套设备安装、有无安装缺陷，使用人员是否经过培训）。</w:t>
            </w:r>
          </w:p>
          <w:p>
            <w:pPr>
              <w:spacing w:line="276" w:lineRule="auto"/>
              <w:rPr>
                <w:rFonts w:ascii="宋体" w:hAnsi="宋体" w:cs="Times New Roman"/>
                <w:sz w:val="24"/>
                <w:szCs w:val="24"/>
              </w:rPr>
            </w:pPr>
            <w:r>
              <w:rPr>
                <w:rFonts w:hint="eastAsia" w:ascii="宋体" w:hAnsi="宋体" w:cs="Times New Roman"/>
                <w:sz w:val="24"/>
                <w:szCs w:val="24"/>
              </w:rPr>
              <w:t>经实验上架定位，符合我单位使用要求。人员培训情况与招投标文件、合同一致。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781" w:type="dxa"/>
            <w:tcBorders>
              <w:top w:val="single" w:color="auto" w:sz="12" w:space="0"/>
              <w:left w:val="single" w:color="auto" w:sz="12" w:space="0"/>
            </w:tcBorders>
            <w:noWrap/>
            <w:textDirection w:val="tbRlV"/>
            <w:vAlign w:val="center"/>
          </w:tcPr>
          <w:p>
            <w:pPr>
              <w:ind w:left="113" w:right="113"/>
              <w:rPr>
                <w:rFonts w:ascii="宋体" w:hAnsi="宋体" w:cs="Times New Roman"/>
                <w:sz w:val="24"/>
                <w:szCs w:val="24"/>
              </w:rPr>
            </w:pPr>
            <w:r>
              <w:rPr>
                <w:rFonts w:hint="eastAsia" w:ascii="宋体" w:hAnsi="宋体" w:cs="宋体"/>
                <w:sz w:val="24"/>
                <w:szCs w:val="24"/>
              </w:rPr>
              <w:t>技术验收情况</w:t>
            </w:r>
          </w:p>
        </w:tc>
        <w:tc>
          <w:tcPr>
            <w:tcW w:w="9214" w:type="dxa"/>
            <w:gridSpan w:val="13"/>
            <w:tcBorders>
              <w:top w:val="single" w:color="auto" w:sz="12" w:space="0"/>
              <w:right w:val="single" w:color="auto" w:sz="12" w:space="0"/>
            </w:tcBorders>
            <w:noWrap/>
          </w:tcPr>
          <w:p>
            <w:pPr>
              <w:spacing w:line="276" w:lineRule="auto"/>
              <w:rPr>
                <w:rFonts w:ascii="宋体" w:hAnsi="宋体" w:cs="宋体"/>
                <w:sz w:val="24"/>
                <w:szCs w:val="24"/>
              </w:rPr>
            </w:pPr>
            <w:r>
              <w:rPr>
                <w:rFonts w:hint="eastAsia" w:ascii="宋体" w:hAnsi="宋体" w:cs="宋体"/>
                <w:sz w:val="24"/>
                <w:szCs w:val="24"/>
              </w:rPr>
              <w:t>依据合同约定技术条款逐一测定设备的性能和各项技术指标，所测结果是否与合同约定技术条款规定的一样，性能是否稳定，配件是否齐全，是否有安全隐患，具体说明。</w:t>
            </w:r>
          </w:p>
          <w:p>
            <w:pPr>
              <w:spacing w:line="276" w:lineRule="auto"/>
              <w:rPr>
                <w:rFonts w:ascii="宋体" w:hAnsi="宋体" w:cs="宋体"/>
                <w:sz w:val="24"/>
                <w:szCs w:val="24"/>
              </w:rPr>
            </w:pPr>
            <w:r>
              <w:rPr>
                <w:rFonts w:hint="eastAsia" w:ascii="宋体" w:hAnsi="宋体" w:cs="宋体"/>
                <w:sz w:val="24"/>
                <w:szCs w:val="24"/>
              </w:rPr>
              <w:t>经测试，所供图书与合同约定技术条款的性能和各项技术指标规定的一样，性能稳定，配件齐全，无知识产权纠纷。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781" w:type="dxa"/>
            <w:tcBorders>
              <w:top w:val="single" w:color="auto" w:sz="12" w:space="0"/>
              <w:left w:val="single" w:color="auto" w:sz="12" w:space="0"/>
              <w:bottom w:val="single" w:color="auto" w:sz="12" w:space="0"/>
            </w:tcBorders>
            <w:noWrap/>
            <w:textDirection w:val="tbRlV"/>
            <w:vAlign w:val="center"/>
          </w:tcPr>
          <w:p>
            <w:pPr>
              <w:spacing w:after="120"/>
              <w:ind w:left="113" w:right="113"/>
              <w:jc w:val="center"/>
              <w:rPr>
                <w:rFonts w:ascii="宋体" w:hAnsi="宋体" w:cs="Times New Roman"/>
                <w:sz w:val="24"/>
                <w:szCs w:val="24"/>
              </w:rPr>
            </w:pPr>
            <w:r>
              <w:rPr>
                <w:rFonts w:hint="eastAsia" w:ascii="宋体" w:hAnsi="宋体" w:cs="宋体"/>
                <w:sz w:val="24"/>
                <w:szCs w:val="24"/>
              </w:rPr>
              <w:t>初步验收情况</w:t>
            </w:r>
          </w:p>
        </w:tc>
        <w:tc>
          <w:tcPr>
            <w:tcW w:w="9214" w:type="dxa"/>
            <w:gridSpan w:val="13"/>
            <w:tcBorders>
              <w:top w:val="single" w:color="auto" w:sz="12" w:space="0"/>
              <w:bottom w:val="single" w:color="auto" w:sz="12" w:space="0"/>
              <w:right w:val="single" w:color="auto" w:sz="12" w:space="0"/>
            </w:tcBorders>
            <w:noWrap/>
            <w:vAlign w:val="center"/>
          </w:tcPr>
          <w:p>
            <w:pPr>
              <w:spacing w:line="240" w:lineRule="atLeast"/>
              <w:rPr>
                <w:rFonts w:ascii="宋体" w:hAnsi="宋体" w:cs="宋体"/>
                <w:sz w:val="24"/>
                <w:szCs w:val="24"/>
              </w:rPr>
            </w:pPr>
            <w:r>
              <w:rPr>
                <w:rFonts w:hint="eastAsia" w:ascii="宋体" w:hAnsi="宋体" w:cs="宋体"/>
                <w:sz w:val="24"/>
                <w:szCs w:val="24"/>
              </w:rPr>
              <w:t>□通过验收□整改后再组织验收</w:t>
            </w:r>
          </w:p>
          <w:p>
            <w:pPr>
              <w:spacing w:line="240" w:lineRule="atLeast"/>
              <w:rPr>
                <w:rFonts w:ascii="宋体" w:hAnsi="宋体" w:cs="宋体"/>
                <w:sz w:val="24"/>
                <w:szCs w:val="24"/>
              </w:rPr>
            </w:pPr>
          </w:p>
          <w:p>
            <w:pPr>
              <w:adjustRightInd w:val="0"/>
              <w:snapToGrid w:val="0"/>
              <w:rPr>
                <w:rFonts w:ascii="宋体" w:hAnsi="宋体" w:cs="Times New Roman"/>
                <w:sz w:val="24"/>
                <w:szCs w:val="24"/>
              </w:rPr>
            </w:pPr>
            <w:r>
              <w:rPr>
                <w:rFonts w:hint="eastAsia" w:ascii="宋体" w:hAnsi="宋体" w:cs="宋体"/>
                <w:sz w:val="24"/>
                <w:szCs w:val="24"/>
              </w:rPr>
              <w:t>□不通过验收索赔要求□其他结论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1" w:hRule="atLeast"/>
          <w:jc w:val="center"/>
        </w:trPr>
        <w:tc>
          <w:tcPr>
            <w:tcW w:w="1297" w:type="dxa"/>
            <w:gridSpan w:val="2"/>
            <w:tcBorders>
              <w:top w:val="single" w:color="auto" w:sz="12" w:space="0"/>
              <w:left w:val="single" w:color="auto" w:sz="12" w:space="0"/>
              <w:bottom w:val="single" w:color="auto" w:sz="12" w:space="0"/>
              <w:right w:val="single" w:color="auto" w:sz="2" w:space="0"/>
            </w:tcBorders>
            <w:noWrap/>
            <w:vAlign w:val="center"/>
          </w:tcPr>
          <w:p>
            <w:pPr>
              <w:spacing w:line="240" w:lineRule="atLeast"/>
              <w:jc w:val="center"/>
              <w:rPr>
                <w:rFonts w:ascii="宋体" w:hAnsi="宋体" w:cs="宋体"/>
                <w:sz w:val="24"/>
                <w:szCs w:val="24"/>
              </w:rPr>
            </w:pPr>
            <w:r>
              <w:rPr>
                <w:rFonts w:hint="eastAsia" w:ascii="宋体" w:hAnsi="宋体" w:cs="宋体"/>
                <w:sz w:val="24"/>
                <w:szCs w:val="24"/>
              </w:rPr>
              <w:t>验收小组</w:t>
            </w:r>
          </w:p>
          <w:p>
            <w:pPr>
              <w:spacing w:line="240" w:lineRule="atLeast"/>
              <w:jc w:val="center"/>
              <w:rPr>
                <w:rFonts w:ascii="宋体" w:hAnsi="宋体" w:cs="宋体"/>
                <w:sz w:val="24"/>
                <w:szCs w:val="24"/>
              </w:rPr>
            </w:pPr>
            <w:r>
              <w:rPr>
                <w:rFonts w:hint="eastAsia" w:ascii="宋体" w:hAnsi="宋体" w:cs="宋体"/>
                <w:sz w:val="24"/>
                <w:szCs w:val="24"/>
              </w:rPr>
              <w:t>成员签字</w:t>
            </w:r>
          </w:p>
        </w:tc>
        <w:tc>
          <w:tcPr>
            <w:tcW w:w="3312" w:type="dxa"/>
            <w:gridSpan w:val="5"/>
            <w:tcBorders>
              <w:top w:val="single" w:color="auto" w:sz="12" w:space="0"/>
              <w:left w:val="single" w:color="auto" w:sz="2" w:space="0"/>
              <w:bottom w:val="single" w:color="auto" w:sz="12" w:space="0"/>
              <w:right w:val="single" w:color="auto" w:sz="2" w:space="0"/>
            </w:tcBorders>
            <w:noWrap/>
            <w:vAlign w:val="center"/>
          </w:tcPr>
          <w:p>
            <w:pPr>
              <w:spacing w:line="240" w:lineRule="atLeast"/>
              <w:jc w:val="center"/>
              <w:rPr>
                <w:rFonts w:ascii="宋体" w:hAnsi="宋体" w:cs="宋体"/>
                <w:sz w:val="24"/>
                <w:szCs w:val="24"/>
              </w:rPr>
            </w:pPr>
          </w:p>
        </w:tc>
        <w:tc>
          <w:tcPr>
            <w:tcW w:w="1853" w:type="dxa"/>
            <w:gridSpan w:val="3"/>
            <w:tcBorders>
              <w:top w:val="single" w:color="auto" w:sz="12" w:space="0"/>
              <w:left w:val="single" w:color="auto" w:sz="2" w:space="0"/>
              <w:bottom w:val="single" w:color="auto" w:sz="12" w:space="0"/>
              <w:right w:val="single" w:color="auto" w:sz="2" w:space="0"/>
            </w:tcBorders>
            <w:noWrap/>
            <w:vAlign w:val="center"/>
          </w:tcPr>
          <w:p>
            <w:pPr>
              <w:spacing w:line="240" w:lineRule="atLeast"/>
              <w:rPr>
                <w:rFonts w:ascii="宋体" w:hAnsi="宋体" w:cs="宋体"/>
                <w:sz w:val="24"/>
                <w:szCs w:val="24"/>
              </w:rPr>
            </w:pPr>
            <w:r>
              <w:rPr>
                <w:rFonts w:hint="eastAsia" w:ascii="宋体" w:hAnsi="宋体" w:cs="宋体"/>
                <w:sz w:val="24"/>
                <w:szCs w:val="24"/>
              </w:rPr>
              <w:t>供货商</w:t>
            </w:r>
          </w:p>
          <w:p>
            <w:pPr>
              <w:spacing w:line="240" w:lineRule="atLeast"/>
              <w:jc w:val="center"/>
              <w:rPr>
                <w:rFonts w:ascii="宋体" w:hAnsi="宋体" w:cs="宋体"/>
                <w:sz w:val="24"/>
                <w:szCs w:val="24"/>
              </w:rPr>
            </w:pPr>
            <w:r>
              <w:rPr>
                <w:rFonts w:hint="eastAsia" w:ascii="宋体" w:hAnsi="宋体" w:cs="宋体"/>
                <w:sz w:val="24"/>
                <w:szCs w:val="24"/>
              </w:rPr>
              <w:t>授权代表签字</w:t>
            </w:r>
          </w:p>
        </w:tc>
        <w:tc>
          <w:tcPr>
            <w:tcW w:w="3533" w:type="dxa"/>
            <w:gridSpan w:val="4"/>
            <w:tcBorders>
              <w:top w:val="single" w:color="auto" w:sz="12" w:space="0"/>
              <w:left w:val="single" w:color="auto" w:sz="2" w:space="0"/>
              <w:bottom w:val="single" w:color="auto" w:sz="12" w:space="0"/>
              <w:right w:val="single" w:color="auto" w:sz="12" w:space="0"/>
            </w:tcBorders>
            <w:noWrap/>
            <w:vAlign w:val="center"/>
          </w:tcPr>
          <w:p>
            <w:pPr>
              <w:spacing w:line="240" w:lineRule="atLeast"/>
              <w:jc w:val="center"/>
              <w:rPr>
                <w:rFonts w:ascii="宋体" w:hAnsi="宋体" w:cs="宋体"/>
                <w:sz w:val="24"/>
                <w:szCs w:val="24"/>
              </w:rPr>
            </w:pPr>
          </w:p>
        </w:tc>
      </w:tr>
    </w:tbl>
    <w:p>
      <w:pPr>
        <w:adjustRightInd w:val="0"/>
        <w:snapToGrid w:val="0"/>
        <w:spacing w:line="500" w:lineRule="exact"/>
        <w:outlineLvl w:val="9"/>
        <w:rPr>
          <w:rFonts w:ascii="宋体" w:hAnsi="宋体" w:cs="宋体"/>
          <w:b/>
          <w:bCs/>
          <w:sz w:val="32"/>
          <w:szCs w:val="32"/>
        </w:rPr>
      </w:pPr>
    </w:p>
    <w:p>
      <w:pPr>
        <w:adjustRightInd w:val="0"/>
        <w:snapToGrid w:val="0"/>
        <w:jc w:val="center"/>
        <w:outlineLvl w:val="0"/>
        <w:rPr>
          <w:rFonts w:hint="eastAsia" w:eastAsia="宋体"/>
          <w:lang w:eastAsia="zh-CN"/>
        </w:rPr>
        <w:sectPr>
          <w:headerReference r:id="rId8" w:type="default"/>
          <w:footerReference r:id="rId9" w:type="default"/>
          <w:pgSz w:w="11906" w:h="16838"/>
          <w:pgMar w:top="720" w:right="720" w:bottom="720" w:left="720" w:header="851" w:footer="992" w:gutter="0"/>
          <w:cols w:space="720" w:num="1"/>
          <w:docGrid w:type="linesAndChars" w:linePitch="312" w:charSpace="0"/>
        </w:sectPr>
      </w:pPr>
    </w:p>
    <w:p>
      <w:pPr>
        <w:adjustRightInd w:val="0"/>
        <w:snapToGrid w:val="0"/>
        <w:jc w:val="center"/>
        <w:outlineLvl w:val="0"/>
        <w:rPr>
          <w:rFonts w:hint="eastAsia" w:eastAsia="宋体"/>
          <w:lang w:eastAsia="zh-CN"/>
        </w:rPr>
      </w:pPr>
      <w:r>
        <w:rPr>
          <w:rFonts w:hint="eastAsia" w:eastAsia="宋体"/>
          <w:lang w:eastAsia="zh-CN"/>
        </w:rPr>
        <w:drawing>
          <wp:inline distT="0" distB="0" distL="114300" distR="114300">
            <wp:extent cx="6273800" cy="8368665"/>
            <wp:effectExtent l="0" t="0" r="12700" b="13335"/>
            <wp:docPr id="4" name="图片 4" descr="4c68f32a88f13a2a1013fd3b8da89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68f32a88f13a2a1013fd3b8da89b6"/>
                    <pic:cNvPicPr>
                      <a:picLocks noChangeAspect="1"/>
                    </pic:cNvPicPr>
                  </pic:nvPicPr>
                  <pic:blipFill>
                    <a:blip r:embed="rId15"/>
                    <a:stretch>
                      <a:fillRect/>
                    </a:stretch>
                  </pic:blipFill>
                  <pic:spPr>
                    <a:xfrm>
                      <a:off x="0" y="0"/>
                      <a:ext cx="6273800" cy="8368665"/>
                    </a:xfrm>
                    <a:prstGeom prst="rect">
                      <a:avLst/>
                    </a:prstGeom>
                  </pic:spPr>
                </pic:pic>
              </a:graphicData>
            </a:graphic>
          </wp:inline>
        </w:drawing>
      </w:r>
    </w:p>
    <w:sectPr>
      <w:footerReference r:id="rId10" w:type="default"/>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7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ind w:right="720"/>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jc w:val="center"/>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jc w:val="center"/>
      <w:rPr>
        <w:rFonts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pPr>
                      <w:pStyle w:val="5"/>
                      <w:jc w:val="right"/>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D73EC"/>
    <w:rsid w:val="00195FD6"/>
    <w:rsid w:val="003B40DF"/>
    <w:rsid w:val="004C2DDC"/>
    <w:rsid w:val="004F043E"/>
    <w:rsid w:val="0055147A"/>
    <w:rsid w:val="005D154C"/>
    <w:rsid w:val="007E7A28"/>
    <w:rsid w:val="00805B27"/>
    <w:rsid w:val="008E3471"/>
    <w:rsid w:val="009B6A3B"/>
    <w:rsid w:val="009C6234"/>
    <w:rsid w:val="00A338DF"/>
    <w:rsid w:val="00B00A20"/>
    <w:rsid w:val="00B57FA0"/>
    <w:rsid w:val="00C12F9D"/>
    <w:rsid w:val="00D50637"/>
    <w:rsid w:val="00F1457D"/>
    <w:rsid w:val="00FC1920"/>
    <w:rsid w:val="08D51157"/>
    <w:rsid w:val="0D0800AE"/>
    <w:rsid w:val="0E8F2A94"/>
    <w:rsid w:val="17284B67"/>
    <w:rsid w:val="1CA2148E"/>
    <w:rsid w:val="1CD33DAE"/>
    <w:rsid w:val="277E4A24"/>
    <w:rsid w:val="2EA43ADD"/>
    <w:rsid w:val="36F776BE"/>
    <w:rsid w:val="41DC1280"/>
    <w:rsid w:val="4AD24A54"/>
    <w:rsid w:val="4B5C4773"/>
    <w:rsid w:val="50614E33"/>
    <w:rsid w:val="5CEC4819"/>
    <w:rsid w:val="5F8D73EC"/>
    <w:rsid w:val="666E5A23"/>
    <w:rsid w:val="69B753AB"/>
    <w:rsid w:val="6F414F10"/>
    <w:rsid w:val="6F6A726B"/>
    <w:rsid w:val="6F6C5805"/>
    <w:rsid w:val="79100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宋体" w:eastAsia="楷体_GB2312"/>
      <w:sz w:val="28"/>
      <w:szCs w:val="28"/>
    </w:rPr>
  </w:style>
  <w:style w:type="paragraph" w:customStyle="1" w:styleId="3">
    <w:name w:val="Default"/>
    <w:next w:val="1"/>
    <w:qFormat/>
    <w:uiPriority w:val="0"/>
    <w:pPr>
      <w:widowControl w:val="0"/>
      <w:autoSpaceDE w:val="0"/>
      <w:autoSpaceDN w:val="0"/>
      <w:adjustRightInd w:val="0"/>
    </w:pPr>
    <w:rPr>
      <w:rFonts w:ascii="宋体" w:hAnsi="Calibri" w:eastAsia="宋体" w:cs="Times New Roman"/>
      <w:color w:val="000000"/>
      <w:kern w:val="0"/>
      <w:sz w:val="24"/>
      <w:szCs w:val="24"/>
      <w:lang w:val="en-US" w:eastAsia="zh-CN" w:bidi="ar-SA"/>
    </w:rPr>
  </w:style>
  <w:style w:type="paragraph" w:styleId="4">
    <w:name w:val="Balloon Text"/>
    <w:basedOn w:val="1"/>
    <w:link w:val="10"/>
    <w:qFormat/>
    <w:uiPriority w:val="0"/>
    <w:rPr>
      <w:sz w:val="18"/>
      <w:szCs w:val="18"/>
    </w:rPr>
  </w:style>
  <w:style w:type="paragraph" w:styleId="5">
    <w:name w:val="footer"/>
    <w:basedOn w:val="1"/>
    <w:qFormat/>
    <w:uiPriority w:val="99"/>
    <w:pPr>
      <w:tabs>
        <w:tab w:val="center" w:pos="4153"/>
        <w:tab w:val="right" w:pos="8306"/>
      </w:tabs>
      <w:snapToGrid w:val="0"/>
      <w:jc w:val="left"/>
    </w:pPr>
    <w:rPr>
      <w:rFonts w:cs="Times New Roman"/>
      <w:kern w:val="0"/>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customStyle="1" w:styleId="9">
    <w:name w:val="样式2"/>
    <w:basedOn w:val="8"/>
    <w:qFormat/>
    <w:uiPriority w:val="0"/>
    <w:rPr>
      <w:rFonts w:ascii="等线" w:hAnsi="等线" w:eastAsia="宋体"/>
      <w:b/>
      <w:sz w:val="32"/>
    </w:rPr>
  </w:style>
  <w:style w:type="character" w:customStyle="1" w:styleId="10">
    <w:name w:val="批注框文本 Char"/>
    <w:basedOn w:val="8"/>
    <w:link w:val="4"/>
    <w:qFormat/>
    <w:uiPriority w:val="0"/>
    <w:rPr>
      <w:rFonts w:cs="Calibr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6.xml"/>
  <Relationship Id="rId11" Type="http://schemas.openxmlformats.org/officeDocument/2006/relationships/theme" Target="theme/theme1.xml"/>
  <Relationship Id="rId12" Type="http://schemas.openxmlformats.org/officeDocument/2006/relationships/image" Target="media/image1.jpeg"/>
  <Relationship Id="rId13" Type="http://schemas.openxmlformats.org/officeDocument/2006/relationships/image" Target="media/image2.jpeg"/>
  <Relationship Id="rId14" Type="http://schemas.openxmlformats.org/officeDocument/2006/relationships/image" Target="media/image3.jpeg"/>
  <Relationship Id="rId15" Type="http://schemas.openxmlformats.org/officeDocument/2006/relationships/image" Target="media/image4.jpeg"/>
  <Relationship Id="rId16" Type="http://schemas.openxmlformats.org/officeDocument/2006/relationships/customXml" Target="../customXml/item1.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header" Target="header2.xml"/>
  <Relationship Id="rId9" Type="http://schemas.openxmlformats.org/officeDocument/2006/relationships/footer" Target="footer5.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1082</Words>
  <Characters>6170</Characters>
  <Lines>51</Lines>
  <Paragraphs>14</Paragraphs>
  <TotalTime>0</TotalTime>
  <ScaleCrop>false</ScaleCrop>
  <LinksUpToDate>false</LinksUpToDate>
  <CharactersWithSpaces>7238</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2019-12-05T07:17:00Z</dcterms:created>
  <dc:creator>许方君</dc:creator>
  <lastModifiedBy>许方君</lastModifiedBy>
  <dcterms:modified xsi:type="dcterms:W3CDTF">2021-11-23T02:58:30Z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3854EC91A18D41B08535EF5609672BEA</vt:lpwstr>
  </property>
</Properties>
</file>