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仿宋" w:hAnsi="仿宋" w:eastAsia="仿宋" w:cs="仿宋"/>
          <w:color w:val="auto"/>
          <w:sz w:val="28"/>
          <w:szCs w:val="28"/>
        </w:rPr>
      </w:pPr>
      <w:r>
        <w:rPr>
          <w:rFonts w:hint="eastAsia" w:ascii="仿宋" w:hAnsi="仿宋" w:eastAsia="仿宋" w:cs="仿宋"/>
          <w:color w:val="auto"/>
          <w:sz w:val="28"/>
          <w:szCs w:val="28"/>
        </w:rPr>
        <w:t xml:space="preserve"> 合同编号：</w:t>
      </w:r>
      <w:r>
        <w:rPr>
          <w:rFonts w:hint="eastAsia" w:ascii="仿宋" w:hAnsi="仿宋" w:eastAsia="仿宋" w:cs="仿宋"/>
          <w:color w:val="auto"/>
          <w:sz w:val="28"/>
          <w:szCs w:val="28"/>
          <w:u w:val="single"/>
        </w:rPr>
        <w:t xml:space="preserve"> （豫财磋商采购-2021-1228） </w:t>
      </w:r>
    </w:p>
    <w:p>
      <w:pPr>
        <w:spacing w:beforeLines="100"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郑州大学政府采购货物合同</w:t>
      </w:r>
    </w:p>
    <w:p>
      <w:pPr>
        <w:spacing w:line="440" w:lineRule="exact"/>
        <w:ind w:firstLine="482" w:firstLineChars="200"/>
        <w:rPr>
          <w:rFonts w:ascii="仿宋" w:hAnsi="仿宋" w:eastAsia="仿宋" w:cs="仿宋"/>
          <w:b/>
          <w:bCs/>
          <w:color w:val="auto"/>
          <w:sz w:val="24"/>
          <w:szCs w:val="24"/>
        </w:rPr>
      </w:pPr>
      <w:r>
        <w:rPr>
          <w:rFonts w:hint="eastAsia" w:ascii="仿宋" w:hAnsi="仿宋" w:eastAsia="仿宋" w:cs="仿宋"/>
          <w:b/>
          <w:bCs/>
          <w:color w:val="auto"/>
          <w:sz w:val="24"/>
          <w:szCs w:val="24"/>
        </w:rPr>
        <w:t>甲方：郑州大学</w:t>
      </w:r>
    </w:p>
    <w:p>
      <w:pPr>
        <w:spacing w:line="440" w:lineRule="exact"/>
        <w:ind w:firstLine="482" w:firstLineChars="200"/>
        <w:rPr>
          <w:rFonts w:ascii="仿宋" w:hAnsi="仿宋" w:eastAsia="仿宋" w:cs="仿宋"/>
          <w:b/>
          <w:bCs/>
          <w:color w:val="auto"/>
          <w:sz w:val="24"/>
          <w:szCs w:val="24"/>
        </w:rPr>
      </w:pPr>
      <w:r>
        <w:rPr>
          <w:rFonts w:hint="eastAsia" w:ascii="仿宋" w:hAnsi="仿宋" w:eastAsia="仿宋" w:cs="仿宋"/>
          <w:b/>
          <w:bCs/>
          <w:color w:val="auto"/>
          <w:sz w:val="24"/>
          <w:szCs w:val="24"/>
        </w:rPr>
        <w:t>乙方：</w:t>
      </w:r>
      <w:r>
        <w:rPr>
          <w:rFonts w:hint="eastAsia" w:ascii="仿宋" w:hAnsi="仿宋" w:eastAsia="仿宋" w:cs="仿宋"/>
          <w:b/>
          <w:bCs/>
          <w:color w:val="auto"/>
          <w:sz w:val="24"/>
          <w:szCs w:val="24"/>
          <w:u w:val="single"/>
        </w:rPr>
        <w:t>河南新聚诚信息科技有限公司</w:t>
      </w:r>
    </w:p>
    <w:p>
      <w:pPr>
        <w:spacing w:line="440" w:lineRule="exact"/>
        <w:rPr>
          <w:rFonts w:ascii="仿宋" w:hAnsi="仿宋" w:eastAsia="仿宋" w:cs="仿宋"/>
          <w:color w:val="auto"/>
          <w:sz w:val="24"/>
          <w:szCs w:val="24"/>
        </w:rPr>
      </w:pP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本合同于</w:t>
      </w:r>
      <w:r>
        <w:rPr>
          <w:rFonts w:hint="eastAsia" w:ascii="仿宋" w:hAnsi="仿宋" w:eastAsia="仿宋" w:cs="仿宋"/>
          <w:color w:val="auto"/>
          <w:sz w:val="24"/>
          <w:szCs w:val="24"/>
          <w:lang w:val="en-US" w:eastAsia="zh-CN"/>
        </w:rPr>
        <w:t>2021</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日由甲乙双方按下述条款签署。</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在甲方为获得</w:t>
      </w:r>
      <w:r>
        <w:rPr>
          <w:rFonts w:hint="eastAsia" w:ascii="仿宋" w:hAnsi="仿宋" w:eastAsia="仿宋" w:cs="仿宋"/>
          <w:color w:val="auto"/>
          <w:sz w:val="24"/>
          <w:szCs w:val="24"/>
          <w:u w:val="single"/>
        </w:rPr>
        <w:t>（云主机服务器、云桌面系统软件、终端系统、超融合系统授权、云课堂教学管理系统、云服务中心管理系统、教师主机、无线AP、接入交换机、服务器机柜、综合布线系统、服务器内存升级）</w:t>
      </w:r>
      <w:r>
        <w:rPr>
          <w:rFonts w:hint="eastAsia" w:ascii="仿宋" w:hAnsi="仿宋" w:eastAsia="仿宋" w:cs="仿宋"/>
          <w:color w:val="auto"/>
          <w:sz w:val="24"/>
          <w:szCs w:val="24"/>
        </w:rPr>
        <w:t>货物和伴随服务实施公开招标情况下，乙方参加了公开招标。通过公开招标，甲方接受了乙方以总金额</w:t>
      </w:r>
      <w:r>
        <w:rPr>
          <w:rFonts w:hint="eastAsia" w:ascii="仿宋" w:hAnsi="仿宋" w:eastAsia="仿宋" w:cs="仿宋"/>
          <w:color w:val="auto"/>
          <w:sz w:val="24"/>
          <w:szCs w:val="24"/>
          <w:u w:val="single"/>
        </w:rPr>
        <w:t>（币种，人民币小写1473990元，人民币（大写）壹佰肆拾柒万叁仟玖佰玖拾元整）</w:t>
      </w:r>
      <w:r>
        <w:rPr>
          <w:rFonts w:hint="eastAsia" w:ascii="仿宋" w:hAnsi="仿宋" w:eastAsia="仿宋" w:cs="仿宋"/>
          <w:color w:val="auto"/>
          <w:sz w:val="24"/>
          <w:szCs w:val="24"/>
        </w:rPr>
        <w:t>（以下简称“合同价”）的投标。双方以上述事实为基础，签订本合同。</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一、供货范围及分项价格表（详见附件1、附件2）</w:t>
      </w:r>
    </w:p>
    <w:p>
      <w:pPr>
        <w:spacing w:line="440" w:lineRule="exact"/>
        <w:ind w:firstLine="570"/>
        <w:rPr>
          <w:rFonts w:ascii="仿宋" w:hAnsi="仿宋" w:eastAsia="仿宋" w:cs="仿宋"/>
          <w:color w:val="auto"/>
          <w:sz w:val="24"/>
          <w:szCs w:val="24"/>
        </w:rPr>
      </w:pPr>
      <w:r>
        <w:rPr>
          <w:rFonts w:hint="eastAsia" w:ascii="仿宋" w:hAnsi="仿宋" w:eastAsia="仿宋" w:cs="仿宋"/>
          <w:color w:val="auto"/>
          <w:sz w:val="24"/>
          <w:szCs w:val="24"/>
        </w:rPr>
        <w:t>1.本合同所指设备详见附件1、附件2 ，此附件是合同中不可分割的部分。</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2.总价中包括设备金额、包装、运输保险费、装卸费、安装及相关材料费、调试费、软件费、检验费及培训所需费用及税金等，甲方不再另行支付任何费用。</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二、质量及技术规格要求</w:t>
      </w:r>
    </w:p>
    <w:p>
      <w:pPr>
        <w:spacing w:line="440" w:lineRule="exact"/>
        <w:ind w:firstLine="570"/>
        <w:rPr>
          <w:rFonts w:ascii="仿宋" w:hAnsi="仿宋" w:eastAsia="仿宋" w:cs="仿宋"/>
          <w:color w:val="auto"/>
          <w:sz w:val="24"/>
          <w:szCs w:val="24"/>
        </w:rPr>
      </w:pPr>
      <w:r>
        <w:rPr>
          <w:rFonts w:hint="eastAsia" w:ascii="仿宋" w:hAnsi="仿宋" w:eastAsia="仿宋" w:cs="仿宋"/>
          <w:color w:val="auto"/>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pPr>
        <w:spacing w:line="440" w:lineRule="exact"/>
        <w:ind w:firstLine="570"/>
        <w:rPr>
          <w:rFonts w:ascii="仿宋" w:hAnsi="仿宋" w:eastAsia="仿宋" w:cs="仿宋"/>
          <w:color w:val="auto"/>
          <w:sz w:val="24"/>
          <w:szCs w:val="24"/>
        </w:rPr>
      </w:pPr>
      <w:r>
        <w:rPr>
          <w:rFonts w:hint="eastAsia" w:ascii="仿宋" w:hAnsi="仿宋" w:eastAsia="仿宋" w:cs="仿宋"/>
          <w:color w:val="auto"/>
          <w:sz w:val="24"/>
          <w:szCs w:val="24"/>
        </w:rPr>
        <w:t>乙方应在本合同生效后</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个工作日内向甲方提供安装计划及质量控制规范；并于</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 xml:space="preserve">月 </w:t>
      </w: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日前进驻安装现场；所有设备运送到甲方指定地点后，双方在</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三、包装与运输</w:t>
      </w:r>
    </w:p>
    <w:p>
      <w:pPr>
        <w:spacing w:line="440" w:lineRule="exact"/>
        <w:ind w:firstLine="570"/>
        <w:rPr>
          <w:rFonts w:ascii="仿宋" w:hAnsi="仿宋" w:eastAsia="仿宋" w:cs="仿宋"/>
          <w:color w:val="auto"/>
          <w:sz w:val="24"/>
          <w:szCs w:val="24"/>
        </w:rPr>
      </w:pPr>
      <w:r>
        <w:rPr>
          <w:rFonts w:hint="eastAsia" w:ascii="仿宋" w:hAnsi="仿宋" w:eastAsia="仿宋" w:cs="仿宋"/>
          <w:color w:val="auto"/>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四、质保期与售后服务（详见附件3）</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1.所有设备免费质保期为</w:t>
      </w:r>
      <w:r>
        <w:rPr>
          <w:rFonts w:hint="eastAsia" w:ascii="仿宋" w:hAnsi="仿宋" w:eastAsia="仿宋" w:cs="仿宋"/>
          <w:b/>
          <w:bCs/>
          <w:color w:val="auto"/>
          <w:sz w:val="24"/>
          <w:szCs w:val="24"/>
          <w:u w:val="single"/>
        </w:rPr>
        <w:t>3</w:t>
      </w:r>
      <w:r>
        <w:rPr>
          <w:rFonts w:hint="eastAsia" w:ascii="仿宋" w:hAnsi="仿宋" w:eastAsia="仿宋" w:cs="仿宋"/>
          <w:color w:val="auto"/>
          <w:sz w:val="24"/>
          <w:szCs w:val="24"/>
        </w:rPr>
        <w:t>年（自验收合格并交付给甲方之日起计算），终身维护、维修。</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2.在质保期内，因产品质量造成的问题，供货方免费提供配件并现场维修，且所提供的任何零配件必须是其原设备厂家生产的或经其认可的。产品存在质量问题，甲方有权要求乙方换货。</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3.乙方须提供一年</w:t>
      </w:r>
      <w:r>
        <w:rPr>
          <w:rFonts w:hint="eastAsia" w:ascii="仿宋" w:hAnsi="仿宋" w:eastAsia="仿宋" w:cs="仿宋"/>
          <w:color w:val="auto"/>
          <w:sz w:val="24"/>
          <w:szCs w:val="24"/>
          <w:u w:val="single"/>
        </w:rPr>
        <w:t xml:space="preserve">  2  </w:t>
      </w:r>
      <w:r>
        <w:rPr>
          <w:rFonts w:hint="eastAsia" w:ascii="仿宋" w:hAnsi="仿宋" w:eastAsia="仿宋" w:cs="仿宋"/>
          <w:color w:val="auto"/>
          <w:sz w:val="24"/>
          <w:szCs w:val="24"/>
        </w:rPr>
        <w:t>次全免费（配件+人力）对产品设备的维护保养。</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4.乙方承诺凡设备出现故障，自接到甲方报修电话1小时内响应，24小时内到达现场，24小时内解决故障问题。保修期外只收取甲方零配件成本费，其他免费。</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5.乙方有责任对甲方相关人员实施免费的现场培训或集中培训措施，保证甲方相关人员能够独立操作、熟练使用、维护和管理有关设备。</w:t>
      </w:r>
    </w:p>
    <w:p>
      <w:pPr>
        <w:spacing w:line="440" w:lineRule="exact"/>
        <w:ind w:firstLine="480"/>
        <w:rPr>
          <w:rFonts w:ascii="仿宋" w:hAnsi="仿宋" w:eastAsia="仿宋" w:cs="仿宋"/>
          <w:color w:val="auto"/>
          <w:sz w:val="24"/>
          <w:szCs w:val="24"/>
          <w:u w:val="single"/>
        </w:rPr>
      </w:pPr>
      <w:r>
        <w:rPr>
          <w:rFonts w:hint="eastAsia" w:ascii="仿宋" w:hAnsi="仿宋" w:eastAsia="仿宋" w:cs="仿宋"/>
          <w:color w:val="auto"/>
          <w:sz w:val="24"/>
          <w:szCs w:val="24"/>
        </w:rPr>
        <w:t>6.其它：</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五、技术服务</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1.乙方向甲方免费提供标准安装调试及</w:t>
      </w:r>
      <w:r>
        <w:rPr>
          <w:rFonts w:hint="eastAsia" w:ascii="仿宋" w:hAnsi="仿宋" w:eastAsia="仿宋" w:cs="仿宋"/>
          <w:color w:val="auto"/>
          <w:sz w:val="24"/>
          <w:szCs w:val="24"/>
          <w:u w:val="single"/>
        </w:rPr>
        <w:t xml:space="preserve">  3 </w:t>
      </w:r>
      <w:r>
        <w:rPr>
          <w:rFonts w:hint="eastAsia" w:ascii="仿宋" w:hAnsi="仿宋" w:eastAsia="仿宋" w:cs="仿宋"/>
          <w:color w:val="auto"/>
          <w:sz w:val="24"/>
          <w:szCs w:val="24"/>
        </w:rPr>
        <w:t>人次国内操作培训。</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2.乙方向甲方提供设备详细技术、维修及使用资料。</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3.软件免费升级和使用。</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六、专利权</w:t>
      </w:r>
    </w:p>
    <w:p>
      <w:pPr>
        <w:spacing w:line="440" w:lineRule="exact"/>
        <w:ind w:firstLine="480"/>
        <w:rPr>
          <w:rFonts w:ascii="仿宋" w:hAnsi="仿宋" w:eastAsia="仿宋" w:cs="仿宋"/>
          <w:color w:val="auto"/>
          <w:sz w:val="24"/>
          <w:szCs w:val="24"/>
        </w:rPr>
      </w:pPr>
      <w:r>
        <w:rPr>
          <w:rFonts w:hint="eastAsia" w:ascii="仿宋" w:hAnsi="仿宋" w:eastAsia="仿宋" w:cs="仿宋"/>
          <w:color w:val="auto"/>
          <w:sz w:val="24"/>
          <w:szCs w:val="24"/>
        </w:rPr>
        <w:t>乙方应保证甲方在使用其所提供的产品时免受第三方提出侵犯其专利权、商标权或保护期的起诉。</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七、免税</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1.属于进口产品，用于教学和科研目的的，中标价为免税价格。</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2.免税产品应由甲乙双方依据海关的要求签订委托进口代理协议，确认甲乙双方的责任与义务。委托进口代理协议作为本合同的不可分割部分。</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3.免税产品通关时乙方必须进行商检，未商检的，造成的损失由乙方承担。</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八、交货时间、地点与方式</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1.乙方于</w:t>
      </w:r>
      <w:r>
        <w:rPr>
          <w:rFonts w:hint="eastAsia" w:ascii="仿宋" w:hAnsi="仿宋" w:eastAsia="仿宋" w:cs="仿宋"/>
          <w:color w:val="auto"/>
          <w:sz w:val="24"/>
          <w:szCs w:val="24"/>
          <w:u w:val="single"/>
          <w:lang w:val="en-US" w:eastAsia="zh-CN"/>
        </w:rPr>
        <w:t>2021</w:t>
      </w:r>
      <w:r>
        <w:rPr>
          <w:rFonts w:hint="eastAsia" w:ascii="仿宋" w:hAnsi="仿宋" w:eastAsia="仿宋" w:cs="仿宋"/>
          <w:b w:val="0"/>
          <w:bCs w:val="0"/>
          <w:color w:val="auto"/>
          <w:sz w:val="24"/>
          <w:szCs w:val="24"/>
        </w:rPr>
        <w:t>年</w:t>
      </w:r>
      <w:r>
        <w:rPr>
          <w:rFonts w:hint="eastAsia" w:ascii="仿宋" w:hAnsi="仿宋" w:eastAsia="仿宋" w:cs="仿宋"/>
          <w:b w:val="0"/>
          <w:bCs w:val="0"/>
          <w:color w:val="auto"/>
          <w:sz w:val="24"/>
          <w:szCs w:val="24"/>
          <w:u w:val="single"/>
          <w:lang w:val="en-US" w:eastAsia="zh-CN"/>
        </w:rPr>
        <w:t>12</w:t>
      </w:r>
      <w:r>
        <w:rPr>
          <w:rFonts w:hint="eastAsia" w:ascii="仿宋" w:hAnsi="仿宋" w:eastAsia="仿宋" w:cs="仿宋"/>
          <w:b w:val="0"/>
          <w:bCs w:val="0"/>
          <w:color w:val="auto"/>
          <w:sz w:val="24"/>
          <w:szCs w:val="24"/>
        </w:rPr>
        <w:t>月</w:t>
      </w:r>
      <w:r>
        <w:rPr>
          <w:rFonts w:hint="eastAsia" w:ascii="仿宋" w:hAnsi="仿宋" w:eastAsia="仿宋" w:cs="仿宋"/>
          <w:b w:val="0"/>
          <w:bCs w:val="0"/>
          <w:color w:val="auto"/>
          <w:sz w:val="24"/>
          <w:szCs w:val="24"/>
          <w:u w:val="single"/>
          <w:lang w:val="en-US" w:eastAsia="zh-CN"/>
        </w:rPr>
        <w:t>16</w:t>
      </w:r>
      <w:r>
        <w:rPr>
          <w:rFonts w:hint="eastAsia" w:ascii="仿宋" w:hAnsi="仿宋" w:eastAsia="仿宋" w:cs="仿宋"/>
          <w:b w:val="0"/>
          <w:bCs w:val="0"/>
          <w:color w:val="auto"/>
          <w:sz w:val="24"/>
          <w:szCs w:val="24"/>
        </w:rPr>
        <w:t>日</w:t>
      </w:r>
      <w:r>
        <w:rPr>
          <w:rFonts w:hint="eastAsia" w:ascii="仿宋" w:hAnsi="仿宋" w:eastAsia="仿宋" w:cs="仿宋"/>
          <w:color w:val="auto"/>
          <w:sz w:val="24"/>
          <w:szCs w:val="24"/>
        </w:rPr>
        <w:t>之前将货物按甲方要求在甲方指定地点交货、安装、调试完毕，并具备使用条件，未经甲方允许每推迟一天，按合同总额的千分之五扣除违约金。</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2.乙方负责所供货物包装、运输、安装和调试，并承担所发生的费用；甲方为乙方现场安装提供水、电等便利条件。</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3.安装过程中若发生安全事故由乙方承担。</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4.乙方安装人员应服从甲方的管理，遵守国家法律法规和学校相关制度，否则一切后果均由乙方承担。</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5.货物交付使用前，乙方负责对提供货物进行看管，并承担货物的丢失、损毁等风险。</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九、验收方式</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1.初步验收。甲方按合同所列质量标准、规格型号、技术参数以及数量等在现场验收，并填写初步验收单（详见附件4）。验收时，甲方有权提出采用技术和破坏相结合的方法。</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资产管理及专家成立验收专家组进行正式验收。学校验收通过后，才能支付合同款项。</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十、付款方式</w:t>
      </w:r>
    </w:p>
    <w:p>
      <w:pPr>
        <w:spacing w:line="440" w:lineRule="exact"/>
        <w:ind w:left="480"/>
        <w:rPr>
          <w:rFonts w:ascii="仿宋" w:hAnsi="仿宋" w:eastAsia="仿宋" w:cs="仿宋"/>
          <w:color w:val="auto"/>
          <w:sz w:val="24"/>
          <w:szCs w:val="24"/>
        </w:rPr>
      </w:pPr>
      <w:r>
        <w:rPr>
          <w:rFonts w:hint="eastAsia" w:ascii="仿宋" w:hAnsi="仿宋" w:eastAsia="仿宋" w:cs="仿宋"/>
          <w:color w:val="auto"/>
          <w:sz w:val="24"/>
          <w:szCs w:val="24"/>
        </w:rPr>
        <w:t xml:space="preserve"> 1.本合同总价款（大写）为：</w:t>
      </w:r>
      <w:r>
        <w:rPr>
          <w:rFonts w:hint="eastAsia" w:ascii="仿宋" w:hAnsi="仿宋" w:eastAsia="仿宋" w:cs="仿宋"/>
          <w:color w:val="auto"/>
          <w:sz w:val="24"/>
          <w:szCs w:val="24"/>
          <w:u w:val="single"/>
        </w:rPr>
        <w:t>壹佰肆拾柒万叁仟玖佰玖拾元整</w:t>
      </w:r>
      <w:r>
        <w:rPr>
          <w:rFonts w:hint="eastAsia" w:ascii="仿宋" w:hAnsi="仿宋" w:eastAsia="仿宋" w:cs="仿宋"/>
          <w:b/>
          <w:bCs/>
          <w:color w:val="auto"/>
          <w:kern w:val="0"/>
          <w:sz w:val="24"/>
          <w:szCs w:val="24"/>
          <w:u w:val="single"/>
        </w:rPr>
        <w:t>（小写：￥1473990元）</w:t>
      </w:r>
      <w:r>
        <w:rPr>
          <w:rFonts w:hint="eastAsia" w:ascii="仿宋" w:hAnsi="仿宋" w:eastAsia="仿宋" w:cs="仿宋"/>
          <w:color w:val="auto"/>
          <w:sz w:val="24"/>
          <w:szCs w:val="24"/>
        </w:rPr>
        <w:t>。</w:t>
      </w:r>
    </w:p>
    <w:p>
      <w:pPr>
        <w:spacing w:line="440" w:lineRule="exact"/>
        <w:ind w:left="120"/>
        <w:rPr>
          <w:rFonts w:ascii="仿宋" w:hAnsi="仿宋" w:eastAsia="仿宋" w:cs="仿宋"/>
          <w:color w:val="auto"/>
          <w:sz w:val="24"/>
          <w:szCs w:val="24"/>
        </w:rPr>
      </w:pPr>
      <w:r>
        <w:rPr>
          <w:rFonts w:hint="eastAsia" w:ascii="仿宋" w:hAnsi="仿宋" w:eastAsia="仿宋" w:cs="仿宋"/>
          <w:color w:val="auto"/>
          <w:sz w:val="24"/>
          <w:szCs w:val="24"/>
        </w:rPr>
        <w:t xml:space="preserve">    2.付款方式：货物验收合格后，经审计后，甲方向乙方支付全部货款的95％即人民币</w:t>
      </w:r>
      <w:r>
        <w:rPr>
          <w:rFonts w:hint="eastAsia" w:ascii="仿宋" w:hAnsi="仿宋" w:eastAsia="仿宋" w:cs="仿宋"/>
          <w:b/>
          <w:bCs/>
          <w:color w:val="auto"/>
          <w:kern w:val="0"/>
          <w:sz w:val="24"/>
          <w:szCs w:val="24"/>
          <w:u w:val="single"/>
        </w:rPr>
        <w:t>壹佰肆拾万零贰佰玖拾元伍角</w:t>
      </w:r>
      <w:r>
        <w:rPr>
          <w:rFonts w:hint="eastAsia" w:ascii="仿宋" w:hAnsi="仿宋" w:eastAsia="仿宋" w:cs="仿宋"/>
          <w:color w:val="auto"/>
          <w:sz w:val="24"/>
          <w:szCs w:val="24"/>
        </w:rPr>
        <w:t>（小写：￥</w:t>
      </w:r>
      <w:r>
        <w:rPr>
          <w:rFonts w:hint="eastAsia" w:ascii="仿宋" w:hAnsi="仿宋" w:eastAsia="仿宋" w:cs="仿宋"/>
          <w:b/>
          <w:bCs/>
          <w:color w:val="auto"/>
          <w:kern w:val="0"/>
          <w:sz w:val="24"/>
          <w:szCs w:val="24"/>
          <w:u w:val="single"/>
        </w:rPr>
        <w:t>1400290.5</w:t>
      </w:r>
      <w:r>
        <w:rPr>
          <w:rFonts w:hint="eastAsia" w:ascii="仿宋" w:hAnsi="仿宋" w:eastAsia="仿宋" w:cs="仿宋"/>
          <w:color w:val="auto"/>
          <w:sz w:val="24"/>
          <w:szCs w:val="24"/>
        </w:rPr>
        <w:t>元），质保期满后，甲方向乙方支付剩余的全部货款即人民币</w:t>
      </w:r>
      <w:r>
        <w:rPr>
          <w:rFonts w:hint="eastAsia" w:ascii="仿宋" w:hAnsi="仿宋" w:eastAsia="仿宋" w:cs="仿宋"/>
          <w:b/>
          <w:bCs/>
          <w:color w:val="auto"/>
          <w:kern w:val="0"/>
          <w:sz w:val="24"/>
          <w:szCs w:val="24"/>
          <w:u w:val="single"/>
        </w:rPr>
        <w:t>柒万叁仟陆佰玖拾玖元伍角</w:t>
      </w:r>
      <w:r>
        <w:rPr>
          <w:rFonts w:hint="eastAsia" w:ascii="仿宋" w:hAnsi="仿宋" w:eastAsia="仿宋" w:cs="仿宋"/>
          <w:color w:val="auto"/>
          <w:sz w:val="24"/>
          <w:szCs w:val="24"/>
        </w:rPr>
        <w:t>（小写：￥</w:t>
      </w:r>
      <w:r>
        <w:rPr>
          <w:rFonts w:hint="eastAsia" w:ascii="仿宋" w:hAnsi="仿宋" w:eastAsia="仿宋" w:cs="仿宋"/>
          <w:b/>
          <w:bCs/>
          <w:color w:val="auto"/>
          <w:kern w:val="0"/>
          <w:sz w:val="24"/>
          <w:szCs w:val="24"/>
          <w:u w:val="single"/>
        </w:rPr>
        <w:t>73699.5</w:t>
      </w:r>
      <w:r>
        <w:rPr>
          <w:rFonts w:hint="eastAsia" w:ascii="仿宋" w:hAnsi="仿宋" w:eastAsia="仿宋" w:cs="仿宋"/>
          <w:color w:val="auto"/>
          <w:sz w:val="24"/>
          <w:szCs w:val="24"/>
        </w:rPr>
        <w:t>元）。</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十一、履约担保</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乙方向甲方以转账的方式提供合同总额5%的履约保证金。履约担保金在签订合同前交学校财务处，货物验收合格，正式交付使用后予以退还。</w:t>
      </w:r>
    </w:p>
    <w:p>
      <w:pPr>
        <w:rPr>
          <w:rFonts w:hint="eastAsia" w:ascii="仿宋" w:hAnsi="仿宋" w:eastAsia="仿宋" w:cs="仿宋"/>
          <w:b/>
          <w:bCs/>
          <w:color w:val="auto"/>
          <w:sz w:val="28"/>
          <w:szCs w:val="28"/>
        </w:rPr>
      </w:pPr>
      <w:r>
        <w:rPr>
          <w:rFonts w:hint="eastAsia" w:ascii="仿宋" w:hAnsi="仿宋" w:eastAsia="仿宋" w:cs="仿宋"/>
          <w:b/>
          <w:bCs/>
          <w:color w:val="auto"/>
          <w:sz w:val="28"/>
          <w:szCs w:val="28"/>
        </w:rPr>
        <w:br w:type="page"/>
      </w:r>
    </w:p>
    <w:p>
      <w:pPr>
        <w:rPr>
          <w:rFonts w:hint="eastAsia" w:ascii="仿宋" w:hAnsi="仿宋" w:eastAsia="仿宋" w:cs="仿宋"/>
          <w:b/>
          <w:bCs/>
          <w:color w:val="auto"/>
          <w:sz w:val="28"/>
          <w:szCs w:val="28"/>
          <w:lang w:eastAsia="zh-CN"/>
        </w:rPr>
      </w:pPr>
      <w:bookmarkStart w:id="0" w:name="_GoBack"/>
      <w:bookmarkEnd w:id="0"/>
      <w:r>
        <w:rPr>
          <w:rFonts w:hint="eastAsia" w:ascii="仿宋" w:hAnsi="仿宋" w:eastAsia="仿宋" w:cs="仿宋"/>
          <w:b/>
          <w:bCs/>
          <w:color w:val="auto"/>
          <w:sz w:val="28"/>
          <w:szCs w:val="28"/>
          <w:lang w:eastAsia="zh-CN"/>
        </w:rPr>
        <w:drawing>
          <wp:inline distT="0" distB="0" distL="114300" distR="114300">
            <wp:extent cx="5253990" cy="7548880"/>
            <wp:effectExtent l="0" t="0" r="3810" b="13970"/>
            <wp:docPr id="1" name="图片 1" descr="云平台微信图片_2021121515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云平台微信图片_20211215155713"/>
                    <pic:cNvPicPr>
                      <a:picLocks noChangeAspect="1"/>
                    </pic:cNvPicPr>
                  </pic:nvPicPr>
                  <pic:blipFill>
                    <a:blip r:embed="rId5"/>
                    <a:stretch>
                      <a:fillRect/>
                    </a:stretch>
                  </pic:blipFill>
                  <pic:spPr>
                    <a:xfrm>
                      <a:off x="0" y="0"/>
                      <a:ext cx="5253990" cy="7548880"/>
                    </a:xfrm>
                    <a:prstGeom prst="rect">
                      <a:avLst/>
                    </a:prstGeom>
                  </pic:spPr>
                </pic:pic>
              </a:graphicData>
            </a:graphic>
          </wp:inline>
        </w:drawing>
      </w:r>
    </w:p>
    <w:p>
      <w:pPr>
        <w:pStyle w:val="2"/>
        <w:rPr>
          <w:rFonts w:hint="eastAsia" w:ascii="仿宋" w:hAnsi="仿宋" w:eastAsia="仿宋" w:cs="仿宋"/>
          <w:b/>
          <w:bCs/>
          <w:color w:val="auto"/>
          <w:sz w:val="28"/>
          <w:szCs w:val="28"/>
          <w:lang w:eastAsia="zh-CN"/>
        </w:rPr>
      </w:pPr>
    </w:p>
    <w:p>
      <w:pPr>
        <w:pStyle w:val="3"/>
        <w:rPr>
          <w:rFonts w:hint="eastAsia" w:ascii="仿宋" w:hAnsi="仿宋" w:eastAsia="仿宋" w:cs="仿宋"/>
          <w:b/>
          <w:bCs/>
          <w:color w:val="auto"/>
          <w:sz w:val="28"/>
          <w:szCs w:val="28"/>
          <w:lang w:eastAsia="zh-CN"/>
        </w:rPr>
      </w:pPr>
    </w:p>
    <w:p>
      <w:pPr>
        <w:rPr>
          <w:rFonts w:hint="eastAsia"/>
          <w:lang w:eastAsia="zh-CN"/>
        </w:rPr>
      </w:pP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十二、违约责任</w:t>
      </w:r>
    </w:p>
    <w:p>
      <w:pPr>
        <w:spacing w:line="440" w:lineRule="exact"/>
        <w:ind w:firstLine="460" w:firstLineChars="192"/>
        <w:rPr>
          <w:rFonts w:ascii="仿宋" w:hAnsi="仿宋" w:eastAsia="仿宋" w:cs="仿宋"/>
          <w:color w:val="auto"/>
          <w:sz w:val="24"/>
          <w:szCs w:val="24"/>
        </w:rPr>
      </w:pPr>
      <w:r>
        <w:rPr>
          <w:rFonts w:hint="eastAsia" w:ascii="仿宋" w:hAnsi="仿宋" w:eastAsia="仿宋" w:cs="仿宋"/>
          <w:color w:val="auto"/>
          <w:sz w:val="24"/>
          <w:szCs w:val="24"/>
        </w:rPr>
        <w:t>乙方所交的货物产地、品牌、型号、规格、质量以及技术标准、数量等不符合合同要求，甲方有权拒收，由此产生的一切费用由乙方负责；因货物更换而造成逾期交货，则按逾期交货处理，乙方应向甲方每天支付合同标总额日千分之五的违约金。甲方无正当理由拒收设备，应向供方偿付拒收设备款额百分之五的违约金。</w:t>
      </w:r>
    </w:p>
    <w:p>
      <w:pPr>
        <w:spacing w:line="440" w:lineRule="exact"/>
        <w:ind w:firstLine="460" w:firstLineChars="192"/>
        <w:rPr>
          <w:rFonts w:ascii="仿宋" w:hAnsi="仿宋" w:eastAsia="仿宋" w:cs="仿宋"/>
          <w:color w:val="auto"/>
          <w:sz w:val="24"/>
          <w:szCs w:val="24"/>
        </w:rPr>
      </w:pPr>
      <w:r>
        <w:rPr>
          <w:rFonts w:hint="eastAsia" w:ascii="仿宋" w:hAnsi="仿宋" w:eastAsia="仿宋" w:cs="仿宋"/>
          <w:color w:val="auto"/>
          <w:sz w:val="24"/>
          <w:szCs w:val="24"/>
        </w:rPr>
        <w:t>甲方逾期付款，应向乙方支付本合同标的总额的日万分之四的违约金。</w:t>
      </w:r>
    </w:p>
    <w:p>
      <w:pPr>
        <w:spacing w:line="480" w:lineRule="exact"/>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十三、其它</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1.组成本合同的文件及解释顺序为：投标书及其附件、本合同及补充条款；招标文件及补充通知；中标通知书；国家、行业或企业（以最高的为准）标准、规范及有关技术文件。</w:t>
      </w:r>
    </w:p>
    <w:p>
      <w:pPr>
        <w:spacing w:line="440" w:lineRule="exact"/>
        <w:ind w:firstLine="600" w:firstLineChars="250"/>
        <w:rPr>
          <w:rFonts w:ascii="仿宋" w:hAnsi="仿宋" w:eastAsia="仿宋" w:cs="仿宋"/>
          <w:color w:val="auto"/>
          <w:sz w:val="24"/>
          <w:szCs w:val="24"/>
        </w:rPr>
      </w:pPr>
      <w:r>
        <w:rPr>
          <w:rFonts w:hint="eastAsia" w:ascii="仿宋" w:hAnsi="仿宋" w:eastAsia="仿宋" w:cs="仿宋"/>
          <w:color w:val="auto"/>
          <w:sz w:val="24"/>
          <w:szCs w:val="24"/>
        </w:rPr>
        <w:t>2.双方在执行合同时产生纠纷，协商解决；协商不成，向甲方所在地人民法院提起诉讼。</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3.本合同共</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16</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页，一式</w:t>
      </w:r>
      <w:r>
        <w:rPr>
          <w:rFonts w:hint="eastAsia" w:ascii="仿宋" w:hAnsi="仿宋" w:eastAsia="仿宋" w:cs="仿宋"/>
          <w:color w:val="auto"/>
          <w:sz w:val="24"/>
          <w:szCs w:val="24"/>
          <w:lang w:val="en-US" w:eastAsia="zh-CN"/>
        </w:rPr>
        <w:t>十四</w:t>
      </w:r>
      <w:r>
        <w:rPr>
          <w:rFonts w:hint="eastAsia" w:ascii="仿宋" w:hAnsi="仿宋" w:eastAsia="仿宋" w:cs="仿宋"/>
          <w:color w:val="auto"/>
          <w:sz w:val="24"/>
          <w:szCs w:val="24"/>
        </w:rPr>
        <w:t>份，甲方执</w:t>
      </w:r>
      <w:r>
        <w:rPr>
          <w:rFonts w:hint="eastAsia" w:ascii="仿宋" w:hAnsi="仿宋" w:eastAsia="仿宋" w:cs="仿宋"/>
          <w:color w:val="auto"/>
          <w:sz w:val="24"/>
          <w:szCs w:val="24"/>
          <w:lang w:val="en-US" w:eastAsia="zh-CN"/>
        </w:rPr>
        <w:t>十</w:t>
      </w:r>
      <w:r>
        <w:rPr>
          <w:rFonts w:hint="eastAsia" w:ascii="仿宋" w:hAnsi="仿宋" w:eastAsia="仿宋" w:cs="仿宋"/>
          <w:color w:val="auto"/>
          <w:sz w:val="24"/>
          <w:szCs w:val="24"/>
        </w:rPr>
        <w:t>份，乙方执</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份，招标公司执二份。</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4.本合同未尽事宜，供需双方可签订补充协议，与本合同具有同等法律效力。</w:t>
      </w:r>
    </w:p>
    <w:p>
      <w:pPr>
        <w:spacing w:line="440" w:lineRule="exact"/>
        <w:ind w:firstLine="480" w:firstLineChars="200"/>
        <w:rPr>
          <w:rFonts w:ascii="仿宋" w:hAnsi="仿宋" w:eastAsia="仿宋" w:cs="仿宋"/>
          <w:color w:val="auto"/>
          <w:sz w:val="28"/>
          <w:szCs w:val="28"/>
        </w:rPr>
      </w:pPr>
      <w:r>
        <w:rPr>
          <w:rFonts w:hint="eastAsia" w:ascii="仿宋" w:hAnsi="仿宋" w:eastAsia="仿宋" w:cs="仿宋"/>
          <w:color w:val="auto"/>
          <w:sz w:val="24"/>
          <w:szCs w:val="24"/>
        </w:rPr>
        <w:t>5.合同有效期：本合同双方签字盖章后生效，合同签署之日起至合同内容执行完毕为本合同有效期。</w:t>
      </w:r>
    </w:p>
    <w:p>
      <w:pPr>
        <w:tabs>
          <w:tab w:val="left" w:pos="5020"/>
        </w:tabs>
        <w:spacing w:line="360" w:lineRule="auto"/>
        <w:rPr>
          <w:rFonts w:ascii="仿宋" w:hAnsi="仿宋" w:eastAsia="仿宋" w:cs="仿宋"/>
          <w:color w:val="auto"/>
          <w:sz w:val="24"/>
          <w:szCs w:val="24"/>
        </w:rPr>
      </w:pPr>
      <w:r>
        <w:rPr>
          <w:rFonts w:hint="eastAsia" w:ascii="仿宋" w:hAnsi="仿宋" w:eastAsia="仿宋" w:cs="仿宋"/>
          <w:color w:val="auto"/>
          <w:sz w:val="24"/>
          <w:szCs w:val="24"/>
        </w:rPr>
        <w:t xml:space="preserve">                               </w:t>
      </w:r>
    </w:p>
    <w:p>
      <w:pPr>
        <w:spacing w:line="480" w:lineRule="auto"/>
        <w:rPr>
          <w:rFonts w:ascii="仿宋" w:hAnsi="仿宋" w:eastAsia="仿宋" w:cs="仿宋"/>
          <w:b/>
          <w:bCs/>
          <w:color w:val="auto"/>
          <w:sz w:val="28"/>
          <w:szCs w:val="28"/>
        </w:rPr>
      </w:pPr>
      <w:r>
        <w:rPr>
          <w:rFonts w:hint="eastAsia" w:ascii="仿宋" w:hAnsi="仿宋" w:eastAsia="仿宋" w:cs="仿宋"/>
          <w:b/>
          <w:bCs/>
          <w:color w:val="auto"/>
          <w:sz w:val="24"/>
          <w:szCs w:val="24"/>
        </w:rPr>
        <w:t xml:space="preserve">甲方：郑州大学                     </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乙方：河南新聚诚信息科技有限公司</w:t>
      </w:r>
    </w:p>
    <w:p>
      <w:pPr>
        <w:spacing w:line="480" w:lineRule="auto"/>
        <w:rPr>
          <w:rFonts w:ascii="仿宋" w:hAnsi="仿宋" w:eastAsia="仿宋" w:cs="仿宋"/>
          <w:b/>
          <w:bCs/>
          <w:color w:val="auto"/>
          <w:sz w:val="24"/>
          <w:szCs w:val="24"/>
        </w:rPr>
      </w:pPr>
      <w:r>
        <w:rPr>
          <w:rFonts w:hint="eastAsia" w:ascii="仿宋" w:hAnsi="仿宋" w:eastAsia="仿宋" w:cs="仿宋"/>
          <w:b/>
          <w:bCs/>
          <w:color w:val="auto"/>
          <w:sz w:val="24"/>
          <w:szCs w:val="24"/>
        </w:rPr>
        <w:t xml:space="preserve">地址：郑州市高新区科学大道100号   地址: 郑州市金水区杨金路中段牛顿国                                                          </w:t>
      </w:r>
    </w:p>
    <w:p>
      <w:pPr>
        <w:spacing w:line="480" w:lineRule="auto"/>
        <w:rPr>
          <w:rFonts w:ascii="仿宋" w:hAnsi="仿宋" w:eastAsia="仿宋" w:cs="仿宋"/>
          <w:b/>
          <w:bCs/>
          <w:color w:val="auto"/>
          <w:sz w:val="24"/>
          <w:szCs w:val="24"/>
        </w:rPr>
      </w:pP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际B座三楼C02号</w:t>
      </w:r>
    </w:p>
    <w:p>
      <w:pPr>
        <w:spacing w:line="480" w:lineRule="auto"/>
        <w:rPr>
          <w:rFonts w:ascii="仿宋" w:hAnsi="仿宋" w:eastAsia="仿宋" w:cs="仿宋"/>
          <w:b/>
          <w:bCs/>
          <w:color w:val="auto"/>
          <w:sz w:val="24"/>
          <w:szCs w:val="24"/>
        </w:rPr>
      </w:pPr>
      <w:r>
        <w:rPr>
          <w:rFonts w:hint="eastAsia" w:ascii="仿宋" w:hAnsi="仿宋" w:eastAsia="仿宋" w:cs="仿宋"/>
          <w:b/>
          <w:bCs/>
          <w:color w:val="auto"/>
          <w:sz w:val="24"/>
          <w:szCs w:val="24"/>
        </w:rPr>
        <w:t>签字代表（或委托代理人）：          签字代表：</w:t>
      </w:r>
    </w:p>
    <w:p>
      <w:pPr>
        <w:spacing w:line="480" w:lineRule="auto"/>
        <w:rPr>
          <w:rFonts w:ascii="仿宋" w:hAnsi="仿宋" w:eastAsia="仿宋" w:cs="仿宋"/>
          <w:b/>
          <w:bCs/>
          <w:color w:val="auto"/>
          <w:sz w:val="24"/>
          <w:szCs w:val="24"/>
        </w:rPr>
      </w:pPr>
      <w:r>
        <w:rPr>
          <w:rFonts w:hint="eastAsia" w:ascii="仿宋" w:hAnsi="仿宋" w:eastAsia="仿宋" w:cs="仿宋"/>
          <w:b/>
          <w:bCs/>
          <w:color w:val="auto"/>
          <w:sz w:val="24"/>
          <w:szCs w:val="24"/>
        </w:rPr>
        <w:t>电话：0371-67783084                 电话：18937173709</w:t>
      </w:r>
    </w:p>
    <w:p>
      <w:pPr>
        <w:spacing w:line="480" w:lineRule="auto"/>
        <w:rPr>
          <w:rFonts w:ascii="仿宋" w:hAnsi="仿宋" w:eastAsia="仿宋" w:cs="仿宋"/>
          <w:b/>
          <w:bCs/>
          <w:color w:val="auto"/>
          <w:sz w:val="24"/>
          <w:szCs w:val="24"/>
        </w:rPr>
      </w:pPr>
      <w:r>
        <w:rPr>
          <w:rFonts w:hint="eastAsia" w:ascii="仿宋" w:hAnsi="仿宋" w:eastAsia="仿宋" w:cs="仿宋"/>
          <w:b/>
          <w:bCs/>
          <w:color w:val="auto"/>
          <w:sz w:val="24"/>
          <w:szCs w:val="24"/>
        </w:rPr>
        <w:t xml:space="preserve">                                    开户银行：招商银行郑州桐柏路支行</w:t>
      </w:r>
    </w:p>
    <w:p>
      <w:pPr>
        <w:spacing w:line="480" w:lineRule="auto"/>
        <w:rPr>
          <w:rFonts w:ascii="仿宋" w:hAnsi="仿宋" w:eastAsia="仿宋" w:cs="仿宋"/>
          <w:b/>
          <w:bCs/>
          <w:color w:val="auto"/>
          <w:sz w:val="24"/>
          <w:szCs w:val="24"/>
        </w:rPr>
      </w:pPr>
      <w:r>
        <w:rPr>
          <w:rFonts w:hint="eastAsia" w:ascii="仿宋" w:hAnsi="仿宋" w:eastAsia="仿宋" w:cs="仿宋"/>
          <w:b/>
          <w:bCs/>
          <w:color w:val="auto"/>
          <w:sz w:val="24"/>
          <w:szCs w:val="24"/>
        </w:rPr>
        <w:t xml:space="preserve">                                    账号：371904953910802</w:t>
      </w:r>
    </w:p>
    <w:p>
      <w:pPr>
        <w:spacing w:line="480" w:lineRule="auto"/>
        <w:ind w:firstLine="723" w:firstLineChars="300"/>
        <w:rPr>
          <w:rFonts w:ascii="仿宋" w:hAnsi="仿宋" w:eastAsia="仿宋" w:cs="仿宋"/>
          <w:b/>
          <w:bCs/>
          <w:color w:val="auto"/>
          <w:sz w:val="24"/>
          <w:szCs w:val="24"/>
        </w:rPr>
      </w:pPr>
      <w:r>
        <w:rPr>
          <w:rFonts w:hint="eastAsia" w:ascii="仿宋" w:hAnsi="仿宋" w:eastAsia="仿宋" w:cs="仿宋"/>
          <w:b/>
          <w:bCs/>
          <w:color w:val="auto"/>
          <w:sz w:val="24"/>
          <w:szCs w:val="24"/>
        </w:rPr>
        <w:t xml:space="preserve">合同签署日期：       年    月    日       </w:t>
      </w:r>
    </w:p>
    <w:p>
      <w:pPr>
        <w:pStyle w:val="2"/>
        <w:rPr>
          <w:rFonts w:hAnsi="宋体"/>
          <w:color w:val="auto"/>
        </w:rPr>
      </w:pPr>
    </w:p>
    <w:p>
      <w:pPr>
        <w:spacing w:line="360" w:lineRule="auto"/>
        <w:rPr>
          <w:rFonts w:ascii="仿宋" w:hAnsi="仿宋" w:eastAsia="仿宋" w:cs="仿宋"/>
          <w:color w:val="auto"/>
          <w:sz w:val="28"/>
          <w:szCs w:val="28"/>
        </w:rPr>
        <w:sectPr>
          <w:footerReference r:id="rId3" w:type="default"/>
          <w:pgSz w:w="11906" w:h="16838"/>
          <w:pgMar w:top="1440" w:right="1800" w:bottom="1440" w:left="1800" w:header="851" w:footer="992" w:gutter="0"/>
          <w:cols w:space="425" w:num="1"/>
          <w:docGrid w:type="lines" w:linePitch="312" w:charSpace="0"/>
        </w:sectPr>
      </w:pPr>
    </w:p>
    <w:p>
      <w:pPr>
        <w:spacing w:line="360" w:lineRule="auto"/>
        <w:rPr>
          <w:rFonts w:ascii="仿宋" w:hAnsi="仿宋" w:eastAsia="仿宋" w:cs="仿宋"/>
          <w:color w:val="auto"/>
          <w:sz w:val="24"/>
          <w:szCs w:val="24"/>
        </w:rPr>
      </w:pPr>
      <w:r>
        <w:rPr>
          <w:rFonts w:hint="eastAsia" w:ascii="仿宋" w:hAnsi="仿宋" w:eastAsia="仿宋" w:cs="仿宋"/>
          <w:color w:val="auto"/>
          <w:sz w:val="28"/>
          <w:szCs w:val="28"/>
        </w:rPr>
        <w:t>附件1</w:t>
      </w:r>
      <w:r>
        <w:rPr>
          <w:rFonts w:hint="eastAsia" w:ascii="仿宋" w:hAnsi="仿宋" w:eastAsia="仿宋" w:cs="仿宋"/>
          <w:color w:val="auto"/>
          <w:kern w:val="0"/>
          <w:sz w:val="24"/>
          <w:szCs w:val="24"/>
        </w:rPr>
        <w:t xml:space="preserve">： </w:t>
      </w:r>
    </w:p>
    <w:tbl>
      <w:tblPr>
        <w:tblStyle w:val="6"/>
        <w:tblpPr w:leftFromText="180" w:rightFromText="180" w:vertAnchor="text" w:horzAnchor="page" w:tblpXSpec="center" w:tblpY="840"/>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614"/>
        <w:gridCol w:w="3612"/>
        <w:gridCol w:w="3139"/>
        <w:gridCol w:w="1068"/>
        <w:gridCol w:w="1054"/>
        <w:gridCol w:w="966"/>
        <w:gridCol w:w="100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8" w:type="pct"/>
            <w:vAlign w:val="center"/>
          </w:tcPr>
          <w:p>
            <w:pPr>
              <w:spacing w:line="300" w:lineRule="exact"/>
              <w:rPr>
                <w:rFonts w:ascii="仿宋" w:hAnsi="仿宋" w:eastAsia="仿宋" w:cs="仿宋"/>
                <w:b/>
                <w:bCs/>
                <w:color w:val="auto"/>
              </w:rPr>
            </w:pPr>
            <w:r>
              <w:rPr>
                <w:rFonts w:hint="eastAsia" w:ascii="仿宋" w:hAnsi="仿宋" w:eastAsia="仿宋" w:cs="仿宋"/>
                <w:b/>
                <w:bCs/>
                <w:color w:val="auto"/>
              </w:rPr>
              <w:t>序号</w:t>
            </w:r>
          </w:p>
        </w:tc>
        <w:tc>
          <w:tcPr>
            <w:tcW w:w="570"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设备名称</w:t>
            </w:r>
          </w:p>
        </w:tc>
        <w:tc>
          <w:tcPr>
            <w:tcW w:w="1275"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品牌型号</w:t>
            </w:r>
          </w:p>
        </w:tc>
        <w:tc>
          <w:tcPr>
            <w:tcW w:w="1108"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制造厂（商）</w:t>
            </w:r>
          </w:p>
        </w:tc>
        <w:tc>
          <w:tcPr>
            <w:tcW w:w="377"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原产地（国）</w:t>
            </w:r>
          </w:p>
        </w:tc>
        <w:tc>
          <w:tcPr>
            <w:tcW w:w="372"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数量</w:t>
            </w:r>
          </w:p>
        </w:tc>
        <w:tc>
          <w:tcPr>
            <w:tcW w:w="341"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单价</w:t>
            </w:r>
          </w:p>
        </w:tc>
        <w:tc>
          <w:tcPr>
            <w:tcW w:w="353"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合价</w:t>
            </w:r>
          </w:p>
        </w:tc>
        <w:tc>
          <w:tcPr>
            <w:tcW w:w="373" w:type="pct"/>
            <w:vAlign w:val="center"/>
          </w:tcPr>
          <w:p>
            <w:pPr>
              <w:spacing w:line="300" w:lineRule="exact"/>
              <w:jc w:val="center"/>
              <w:rPr>
                <w:rFonts w:ascii="仿宋" w:hAnsi="仿宋" w:eastAsia="仿宋" w:cs="仿宋"/>
                <w:b/>
                <w:bCs/>
                <w:color w:val="auto"/>
              </w:rPr>
            </w:pPr>
            <w:r>
              <w:rPr>
                <w:rFonts w:hint="eastAsia" w:ascii="仿宋" w:hAnsi="仿宋" w:eastAsia="仿宋" w:cs="仿宋"/>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1</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云主机服务器</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长城超云 R5210 G11</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长城超云（北京）科技有限公司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6</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87000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522000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2</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云桌面系统软件</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青葡萄 云桌面虚拟化系统V8.0</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190</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1380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262200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3</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终端系统</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青葡萄 TA410</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190</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2560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486400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4</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超融合系统授权</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青葡萄 超融合系统V1.0</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190</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赠送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5</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云课堂教学管理系统</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新聚诚 星安云课堂教学管理系统软件</w:t>
            </w:r>
            <w:r>
              <w:rPr>
                <w:rFonts w:hint="default" w:ascii="仿宋" w:hAnsi="仿宋" w:eastAsia="仿宋" w:cs="仿宋"/>
                <w:color w:val="auto"/>
                <w:lang w:val="en-US"/>
              </w:rPr>
              <w:t>V3.0</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4</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3100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12400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6</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云服务中心管理系统</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青葡萄 云服务中心软件V1.0</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1</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4900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4900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7</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教师主机</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HP 288 Pro G4 MT</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纬创资通（重庆）有限公司</w:t>
            </w:r>
          </w:p>
          <w:p>
            <w:pPr>
              <w:spacing w:line="300" w:lineRule="exact"/>
              <w:rPr>
                <w:rFonts w:ascii="仿宋" w:hAnsi="仿宋" w:eastAsia="仿宋" w:cs="仿宋"/>
                <w:color w:val="auto"/>
              </w:rPr>
            </w:pP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4</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4500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18000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8</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无线AP</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华为 AP5050DN-S</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华为技术有限公司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4</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3800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15200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9</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接入交换机</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华为 S1730S-S24T4S-A1</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华为技术有限公司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8</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3000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24000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10</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服务器机柜</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威多克 VS6047</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山西威图腾科技有限公司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1</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8890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8890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11</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综合布线系统</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定制</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4</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16000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64000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spacing w:line="300" w:lineRule="exact"/>
              <w:rPr>
                <w:rFonts w:ascii="仿宋" w:hAnsi="仿宋" w:eastAsia="仿宋" w:cs="仿宋"/>
                <w:color w:val="auto"/>
              </w:rPr>
            </w:pPr>
            <w:r>
              <w:rPr>
                <w:rFonts w:hint="eastAsia" w:ascii="仿宋" w:hAnsi="仿宋" w:eastAsia="仿宋" w:cs="仿宋"/>
                <w:color w:val="auto"/>
              </w:rPr>
              <w:t>12</w:t>
            </w:r>
          </w:p>
        </w:tc>
        <w:tc>
          <w:tcPr>
            <w:tcW w:w="570" w:type="pct"/>
            <w:vAlign w:val="center"/>
          </w:tcPr>
          <w:p>
            <w:pPr>
              <w:spacing w:line="300" w:lineRule="exact"/>
              <w:rPr>
                <w:rFonts w:ascii="仿宋" w:hAnsi="仿宋" w:eastAsia="仿宋" w:cs="仿宋"/>
                <w:color w:val="auto"/>
              </w:rPr>
            </w:pPr>
            <w:r>
              <w:rPr>
                <w:rFonts w:hint="eastAsia" w:ascii="仿宋" w:hAnsi="仿宋" w:eastAsia="仿宋" w:cs="仿宋"/>
                <w:color w:val="auto"/>
              </w:rPr>
              <w:t>服务器内存升级</w:t>
            </w:r>
          </w:p>
        </w:tc>
        <w:tc>
          <w:tcPr>
            <w:tcW w:w="1275" w:type="pct"/>
            <w:vAlign w:val="center"/>
          </w:tcPr>
          <w:p>
            <w:pPr>
              <w:spacing w:line="300" w:lineRule="exact"/>
              <w:rPr>
                <w:rFonts w:ascii="仿宋" w:hAnsi="仿宋" w:eastAsia="仿宋" w:cs="仿宋"/>
                <w:color w:val="auto"/>
              </w:rPr>
            </w:pPr>
            <w:r>
              <w:rPr>
                <w:rFonts w:hint="eastAsia" w:ascii="仿宋" w:hAnsi="仿宋" w:eastAsia="仿宋" w:cs="仿宋"/>
                <w:color w:val="auto"/>
              </w:rPr>
              <w:t>定制</w:t>
            </w:r>
          </w:p>
        </w:tc>
        <w:tc>
          <w:tcPr>
            <w:tcW w:w="1108" w:type="pct"/>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377" w:type="pct"/>
            <w:vAlign w:val="center"/>
          </w:tcPr>
          <w:p>
            <w:pPr>
              <w:spacing w:line="300" w:lineRule="exact"/>
              <w:rPr>
                <w:rFonts w:ascii="仿宋" w:hAnsi="仿宋" w:eastAsia="仿宋" w:cs="仿宋"/>
                <w:color w:val="auto"/>
              </w:rPr>
            </w:pPr>
            <w:r>
              <w:rPr>
                <w:rFonts w:hint="eastAsia" w:ascii="仿宋" w:hAnsi="仿宋" w:eastAsia="仿宋" w:cs="仿宋"/>
                <w:color w:val="auto"/>
              </w:rPr>
              <w:t>中国</w:t>
            </w:r>
          </w:p>
        </w:tc>
        <w:tc>
          <w:tcPr>
            <w:tcW w:w="372" w:type="pct"/>
            <w:vAlign w:val="center"/>
          </w:tcPr>
          <w:p>
            <w:pPr>
              <w:spacing w:line="300" w:lineRule="exact"/>
              <w:rPr>
                <w:rFonts w:ascii="仿宋" w:hAnsi="仿宋" w:eastAsia="仿宋" w:cs="仿宋"/>
                <w:color w:val="auto"/>
              </w:rPr>
            </w:pPr>
            <w:r>
              <w:rPr>
                <w:rFonts w:hint="eastAsia" w:ascii="仿宋" w:hAnsi="仿宋" w:eastAsia="仿宋" w:cs="仿宋"/>
                <w:color w:val="auto"/>
              </w:rPr>
              <w:t>28</w:t>
            </w:r>
          </w:p>
        </w:tc>
        <w:tc>
          <w:tcPr>
            <w:tcW w:w="341" w:type="pct"/>
            <w:vAlign w:val="center"/>
          </w:tcPr>
          <w:p>
            <w:pPr>
              <w:spacing w:line="300" w:lineRule="exact"/>
              <w:rPr>
                <w:rFonts w:ascii="仿宋" w:hAnsi="仿宋" w:eastAsia="仿宋" w:cs="仿宋"/>
                <w:color w:val="auto"/>
              </w:rPr>
            </w:pPr>
            <w:r>
              <w:rPr>
                <w:rFonts w:hint="eastAsia" w:ascii="仿宋" w:hAnsi="仿宋" w:eastAsia="仿宋" w:cs="仿宋"/>
                <w:color w:val="auto"/>
              </w:rPr>
              <w:t>2000</w:t>
            </w:r>
          </w:p>
        </w:tc>
        <w:tc>
          <w:tcPr>
            <w:tcW w:w="353" w:type="pct"/>
            <w:vAlign w:val="center"/>
          </w:tcPr>
          <w:p>
            <w:pPr>
              <w:spacing w:line="300" w:lineRule="exact"/>
              <w:rPr>
                <w:rFonts w:ascii="仿宋" w:hAnsi="仿宋" w:eastAsia="仿宋" w:cs="仿宋"/>
                <w:color w:val="auto"/>
              </w:rPr>
            </w:pPr>
            <w:r>
              <w:rPr>
                <w:rFonts w:hint="eastAsia" w:ascii="仿宋" w:hAnsi="仿宋" w:eastAsia="仿宋" w:cs="仿宋"/>
                <w:color w:val="auto"/>
              </w:rPr>
              <w:t>56000</w:t>
            </w:r>
          </w:p>
        </w:tc>
        <w:tc>
          <w:tcPr>
            <w:tcW w:w="373" w:type="pct"/>
            <w:vAlign w:val="center"/>
          </w:tcPr>
          <w:p>
            <w:pPr>
              <w:spacing w:line="300" w:lineRule="exact"/>
              <w:rPr>
                <w:rFonts w:ascii="仿宋" w:hAnsi="仿宋" w:eastAsia="仿宋" w:cs="仿宋"/>
                <w:color w:val="auto"/>
              </w:rPr>
            </w:pPr>
            <w:r>
              <w:rPr>
                <w:rFonts w:hint="eastAsia" w:ascii="仿宋" w:hAnsi="仿宋" w:eastAsia="仿宋" w:cs="仿宋"/>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pPr>
              <w:spacing w:line="480" w:lineRule="auto"/>
              <w:rPr>
                <w:rFonts w:ascii="仿宋" w:hAnsi="仿宋" w:eastAsia="仿宋" w:cs="仿宋"/>
                <w:color w:val="auto"/>
              </w:rPr>
            </w:pPr>
            <w:r>
              <w:rPr>
                <w:rFonts w:hint="eastAsia" w:ascii="仿宋" w:hAnsi="仿宋" w:eastAsia="仿宋" w:cs="仿宋"/>
                <w:color w:val="auto"/>
              </w:rPr>
              <w:t>合计：  小写：￥ 1473990 元     大写：人民币壹佰肆拾柒万叁仟玖佰玖拾元整</w:t>
            </w:r>
          </w:p>
        </w:tc>
      </w:tr>
    </w:tbl>
    <w:p>
      <w:pPr>
        <w:spacing w:line="360" w:lineRule="auto"/>
        <w:jc w:val="right"/>
        <w:rPr>
          <w:rFonts w:ascii="仿宋" w:hAnsi="仿宋" w:eastAsia="仿宋" w:cs="仿宋"/>
          <w:color w:val="auto"/>
          <w:sz w:val="24"/>
          <w:szCs w:val="24"/>
        </w:rPr>
      </w:pPr>
      <w:r>
        <w:rPr>
          <w:rFonts w:hint="eastAsia" w:ascii="仿宋" w:hAnsi="仿宋" w:eastAsia="仿宋" w:cs="仿宋"/>
          <w:b/>
          <w:bCs/>
          <w:color w:val="auto"/>
          <w:kern w:val="0"/>
          <w:sz w:val="28"/>
          <w:szCs w:val="28"/>
        </w:rPr>
        <w:t>供货范围及分项价格表</w:t>
      </w:r>
      <w:r>
        <w:rPr>
          <w:rFonts w:hint="eastAsia" w:ascii="仿宋" w:hAnsi="仿宋" w:eastAsia="仿宋" w:cs="仿宋"/>
          <w:color w:val="auto"/>
          <w:sz w:val="24"/>
          <w:szCs w:val="24"/>
        </w:rPr>
        <w:t xml:space="preserve">                                    单位：元</w:t>
      </w:r>
    </w:p>
    <w:p>
      <w:pPr>
        <w:rPr>
          <w:rFonts w:ascii="仿宋" w:hAnsi="仿宋" w:eastAsia="仿宋" w:cs="仿宋"/>
          <w:color w:val="auto"/>
          <w:sz w:val="28"/>
          <w:szCs w:val="28"/>
        </w:rPr>
      </w:pPr>
      <w:r>
        <w:rPr>
          <w:rFonts w:hint="eastAsia" w:ascii="仿宋" w:hAnsi="仿宋" w:eastAsia="仿宋" w:cs="仿宋"/>
          <w:color w:val="auto"/>
          <w:sz w:val="28"/>
          <w:szCs w:val="28"/>
        </w:rPr>
        <w:br w:type="page"/>
      </w:r>
      <w:r>
        <w:rPr>
          <w:rFonts w:hint="eastAsia" w:ascii="仿宋" w:hAnsi="仿宋" w:eastAsia="仿宋" w:cs="仿宋"/>
          <w:color w:val="auto"/>
          <w:sz w:val="28"/>
          <w:szCs w:val="28"/>
        </w:rPr>
        <w:t>附件2：</w:t>
      </w:r>
    </w:p>
    <w:p>
      <w:pPr>
        <w:spacing w:line="360" w:lineRule="auto"/>
        <w:jc w:val="center"/>
        <w:rPr>
          <w:rFonts w:ascii="仿宋" w:hAnsi="仿宋" w:eastAsia="仿宋" w:cs="仿宋"/>
          <w:b/>
          <w:bCs/>
          <w:color w:val="auto"/>
          <w:sz w:val="28"/>
          <w:szCs w:val="28"/>
        </w:rPr>
      </w:pPr>
      <w:r>
        <w:rPr>
          <w:rFonts w:hint="eastAsia" w:ascii="仿宋" w:hAnsi="仿宋" w:eastAsia="仿宋" w:cs="仿宋"/>
          <w:b/>
          <w:bCs/>
          <w:color w:val="auto"/>
          <w:kern w:val="0"/>
          <w:sz w:val="28"/>
          <w:szCs w:val="28"/>
        </w:rPr>
        <w:t>设备</w:t>
      </w:r>
      <w:r>
        <w:rPr>
          <w:rFonts w:hint="eastAsia" w:ascii="仿宋" w:hAnsi="仿宋" w:eastAsia="仿宋" w:cs="仿宋"/>
          <w:b/>
          <w:bCs/>
          <w:color w:val="auto"/>
          <w:sz w:val="28"/>
          <w:szCs w:val="28"/>
        </w:rPr>
        <w:t>技术规格参数、功能描述及</w:t>
      </w:r>
      <w:r>
        <w:rPr>
          <w:rFonts w:hint="eastAsia" w:ascii="仿宋" w:hAnsi="仿宋" w:eastAsia="仿宋" w:cs="仿宋"/>
          <w:b/>
          <w:bCs/>
          <w:color w:val="auto"/>
          <w:kern w:val="0"/>
          <w:sz w:val="28"/>
          <w:szCs w:val="28"/>
        </w:rPr>
        <w:t>配置清单表</w:t>
      </w:r>
    </w:p>
    <w:tbl>
      <w:tblPr>
        <w:tblStyle w:val="6"/>
        <w:tblpPr w:leftFromText="180" w:rightFromText="180" w:vertAnchor="text" w:horzAnchor="page" w:tblpXSpec="center" w:tblpY="476"/>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541"/>
        <w:gridCol w:w="10766"/>
        <w:gridCol w:w="57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序 号</w:t>
            </w:r>
          </w:p>
        </w:tc>
        <w:tc>
          <w:tcPr>
            <w:tcW w:w="544" w:type="pct"/>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设备名称</w:t>
            </w:r>
          </w:p>
        </w:tc>
        <w:tc>
          <w:tcPr>
            <w:tcW w:w="3801" w:type="pct"/>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具体技术规格参数、功能描述及配置清单描述</w:t>
            </w:r>
          </w:p>
        </w:tc>
        <w:tc>
          <w:tcPr>
            <w:tcW w:w="0" w:type="auto"/>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单 位</w:t>
            </w:r>
          </w:p>
        </w:tc>
        <w:tc>
          <w:tcPr>
            <w:tcW w:w="0" w:type="auto"/>
            <w:vAlign w:val="center"/>
          </w:tcPr>
          <w:p>
            <w:pPr>
              <w:jc w:val="center"/>
              <w:rPr>
                <w:rFonts w:ascii="仿宋" w:hAnsi="仿宋" w:eastAsia="仿宋" w:cs="仿宋"/>
                <w:b/>
                <w:bCs/>
                <w:color w:val="auto"/>
                <w:sz w:val="24"/>
                <w:szCs w:val="24"/>
              </w:rPr>
            </w:pPr>
            <w:r>
              <w:rPr>
                <w:rFonts w:hint="eastAsia" w:ascii="仿宋" w:hAnsi="仿宋" w:eastAsia="仿宋" w:cs="仿宋"/>
                <w:b/>
                <w:bCs/>
                <w:color w:val="auto"/>
                <w:sz w:val="24"/>
                <w:szCs w:val="24"/>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1</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云主机服务器</w:t>
            </w:r>
          </w:p>
        </w:tc>
        <w:tc>
          <w:tcPr>
            <w:tcW w:w="3801" w:type="pct"/>
            <w:vAlign w:val="center"/>
          </w:tcPr>
          <w:p>
            <w:pPr>
              <w:widowControl/>
              <w:snapToGrid w:val="0"/>
              <w:jc w:val="left"/>
              <w:textAlignment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品牌型号：长城超云 R5210 G11</w:t>
            </w:r>
          </w:p>
          <w:p>
            <w:pPr>
              <w:widowControl/>
              <w:snapToGrid w:val="0"/>
              <w:jc w:val="left"/>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一、硬件参数：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 CPU：2颗，津逮C5218R 20C 2.1GHz 27.5MB 125W；</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2.内存条：384GB DDR4-2933 ECC REG RDIMM内存；内存扩展能力：16个插槽</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3.硬盘：480GB SSD硬盘2块；960GB SSD硬盘2块；1.2T 10K SAS硬盘3块；</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4.独立磁盘阵列卡；2个千兆网口；2个万兆端口，支持6个PCI-E扩展插槽；</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5.两块冗余热插拔电源，单电源额定功率550W白金电源；</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6.热插拔的对旋风扇，支持N+1冗余；</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7.集成系统管理处理器支持：自动服务器重启、风扇监视和控制、电源监控、温度监控、启动/关闭、按序重启、本地固件更新、错误日志，可通过可视化工具提供系统未来状况的可视显示；</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8.独立的远程管理控制端口，支持远程监控图形界面，可实现与操作系统无关的远程对服务器的完全控制，包括远程的开机、关机、重启、虚拟软驱、虚拟光驱等操作。</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二、软件参数：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云管理平台软件功能参数：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云主机断电保护功能：虚拟化平台可与UPS设备联动，自动感知外部的突然断电情况，并在设定的时间内关闭云主机系统，确保在UPS供电期间云主机温暖下线，避免异常断电造成的数据丢失，提高虚拟化平台的可靠性。</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2.虚拟化平台支持关机计划，可以设置在某个时间点云主机定时关机，节省能源消耗。</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3.支持在共享存储或无存储两种架构下，多台云主机可以组成HA群集环境，以保障整个平台的高可用性，支撑持续的用户服务（无存储架构下，要求不同云主机之间，模板数据支持同步备份，满足迁移需求）。</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4.系统备份还原：中文版备份还原软件，支持windows/Linux操作系统的本地及网络备份还原功能；支持USB移动硬盘、光盘备份设备，可实现一次进行多个磁盘或分区的备份。</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 通过同一管理平台界面，能够提供性能监控功能，对云主机的CPU、网络、磁盘使用率等指标的实时数据统计，并且对云主机硬件进行维护和诊断，包括RAID配置，系统安装等。</w:t>
            </w:r>
          </w:p>
          <w:p>
            <w:pPr>
              <w:widowControl/>
              <w:snapToGrid w:val="0"/>
              <w:jc w:val="left"/>
              <w:rPr>
                <w:rFonts w:ascii="仿宋" w:hAnsi="仿宋" w:eastAsia="仿宋" w:cs="仿宋"/>
                <w:b/>
                <w:bCs/>
                <w:color w:val="auto"/>
                <w:sz w:val="24"/>
                <w:szCs w:val="24"/>
              </w:rPr>
            </w:pPr>
            <w:r>
              <w:rPr>
                <w:rFonts w:hint="eastAsia" w:ascii="仿宋" w:hAnsi="仿宋" w:eastAsia="仿宋" w:cs="仿宋"/>
                <w:color w:val="auto"/>
                <w:kern w:val="0"/>
                <w:sz w:val="24"/>
                <w:szCs w:val="24"/>
              </w:rPr>
              <w:t>6. 云管理平台集成共享空间功能，无需借助第三方软件的前提下，在共享空间中上传的内容可以让每个用户内访问。</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2</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云桌面系统软件</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品牌型号：青葡萄 云桌面虚拟化系统V8.0</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1.支持模板属性配置，可配置模板名称、信息描述、网络、CPU和内存资源</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2.连接服务器支持Linux环境下安装，支持虚拟机批量操作，例如批量创建、批量关联、批量修改。</w:t>
            </w:r>
            <w:r>
              <w:rPr>
                <w:rFonts w:hint="eastAsia" w:ascii="仿宋" w:hAnsi="仿宋" w:eastAsia="仿宋" w:cs="仿宋"/>
                <w:color w:val="auto"/>
                <w:sz w:val="24"/>
                <w:szCs w:val="24"/>
              </w:rPr>
              <w:t>并且支持远程启动。</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3.支持桌面池创建时可以指定起始IP，为虚拟机批量修改IP地址。</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4.支持资源空闲回收功能，当个人桌面断开连接一定时间后（该时间可在管理平台设置）可实现自然关机或挂起，释放占用资源；</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5.控制台不需要安装任何客户端程序，直接通过浏览器以WEB形式访问，如在手机，IPAD上均能实现对虚拟化平台的管理。</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6.可通过终端管理软件对终端客户端软件进行单台或批量更新操作，软件更新后，无需再次重复配置云终端、云桌面参数（服务器连接地址、编号等）；</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7.支持视频重定向，以提升播放流畅度及性能，本项目播放1080P高清视频，播放器CPU利用率低于15%，从而降低服务器资源消耗，提升虚拟机部署密度。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8.支持远程协助功能，管理员在云桌面控制台中可以直接向需要协助的用户发起远程协助，用户桌面无需安装任何辅助软件。</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9.云桌面支持微信扫码登陆，以提供更深维度的身份认证；</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 xml:space="preserve">10.云桌面windows客户端支持从物理机系统直接拖拽文件到虚拟机中，支持从物理机复制文件文本内容并直接粘贴到虚拟机的文件中。 </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11.提供联动关机设置策略，可实现虚拟桌面正常关机时，终端设备自动关机；终端设备按电源键时虚拟桌面自动关机，终端异常断电时可根据策略实现虚拟机自动关机或挂起；</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12.支持VDI随机桌面池模式，随机桌面池模式在用户登录时能自动识别可用的虚拟机，且无需将用户与虚拟机绑定，实现桌面级别冗余；</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13.大小屏互动：云桌面支持同一用户、同一时间在云终端和移动终端上面登陆使用，在云终端和移动终端上面的操作实时同步。(按照竞争性磋商文件要求在响应文件中提供此功能演示截图)</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14.支持虚拟化平台加入云服务中心，加入云服务中心后，可实现对多个虚拟化平台的集中管理、运行状态监控及使用情况大数据分析。</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15.用户在使用虚拟机管理平台时，遇到无法解决的问题，可以点击界面上的技术支持按钮，获取技术人员的在线帮助。</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16.支持将服务器端显卡资源以显卡共享的形式分配给多台3D虚拟机，虚拟机即可流畅使用UG/NX，3Ds MAX，MAYA等主流3D软件。</w:t>
            </w:r>
          </w:p>
          <w:p>
            <w:pPr>
              <w:widowControl/>
              <w:snapToGrid w:val="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17.支持终端消息发布功能，管理员可直接通过web管理平台给终端发送消息，终端无需进入操作系统即可接收消息，消息支持跑马灯显示。</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18.虚拟桌面能够识别18类的USB设备，针对不同类型的USB设备能够精确的识别并控制使用权限，管理员可以自定义USB设备类型并控制使用权限。</w:t>
            </w:r>
            <w:r>
              <w:rPr>
                <w:rFonts w:hint="eastAsia" w:ascii="仿宋" w:hAnsi="仿宋" w:eastAsia="仿宋" w:cs="仿宋"/>
                <w:color w:val="auto"/>
                <w:sz w:val="24"/>
                <w:szCs w:val="24"/>
              </w:rPr>
              <w:t>并且支持USB重定向加速，可提升U盘传输速度。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其他参数：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1.按照竞争性磋商文件要求提供桌面虚拟化的计算机软件著作权登记证书，服务器虚拟化的计算机软件著作权登记证书；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2.按照竞争性磋商文件要求提供虚拟化平台集中管理的计算机软件著作权登记证书；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3.为了保证兼容性与售后统一，投标商负责实现系统与现有云业务系统、超融合系统、云服务中心管理系统等完全兼容，提供统一的管理界面，实现一个模板进行下发到各个教室，以保证平台的统一运维。</w:t>
            </w:r>
          </w:p>
          <w:p>
            <w:pPr>
              <w:snapToGrid w:val="0"/>
              <w:rPr>
                <w:rFonts w:ascii="仿宋" w:hAnsi="仿宋" w:eastAsia="仿宋" w:cs="仿宋"/>
                <w:b/>
                <w:bCs/>
                <w:color w:val="auto"/>
                <w:sz w:val="24"/>
                <w:szCs w:val="24"/>
              </w:rPr>
            </w:pPr>
            <w:r>
              <w:rPr>
                <w:rFonts w:hint="eastAsia" w:ascii="仿宋" w:hAnsi="仿宋" w:eastAsia="仿宋" w:cs="仿宋"/>
                <w:color w:val="auto"/>
                <w:kern w:val="0"/>
                <w:sz w:val="24"/>
                <w:szCs w:val="24"/>
              </w:rPr>
              <w:t>4.确保190个桌面可以并发流畅运行，如硬件资源不足，我方配套相应资源以满足业务流畅正常运行。</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点</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3</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终端系统</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品牌型号：青葡萄 TA410</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 CPU架构为ARM ，1.6G 四核 ，存储8GB 空间；</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 .USB2.0口4个，网卡：1个RJ45以太网口</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 .显示接口及个数：1个VGA接口，1个HDMI接口</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 .音频接口：音频输入/输出</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5.23.8寸显示屏幕，HDMI接口，标准键鼠。</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软件配置参数：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1.操作系统兼容性考量：为保证机房长期的投入使用，所投产品满足对操作系统的支持（包含：winXP、win7、win8、win10、Linux、windowsserver、国产中标麒麟、Unix等）。</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2.支持虚拟机批量操作，例如批量创建、批量关联、批量修改。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3.支持桌面池创建时可以指定起始IP，为虚拟机批量修改IP地址。</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4.支持在虚拟化的管理控制台上配置虚拟机的IP和DNS等信息。</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5.支持在共享存储或无存储两种架构下，多台服务器可以组成HA群集环境，以保障整个平台的高可用性，支撑持续的用户服务（无存储架构下，不同服务器之间，数据支持同步备份，满足迁移需求），</w:t>
            </w:r>
            <w:r>
              <w:rPr>
                <w:rFonts w:hint="eastAsia" w:ascii="仿宋" w:hAnsi="仿宋" w:eastAsia="仿宋" w:cs="仿宋"/>
                <w:color w:val="auto"/>
                <w:sz w:val="24"/>
                <w:szCs w:val="24"/>
              </w:rPr>
              <w:t>并支持超融合集群。</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6.控制台不需要安装任何客户端程序，直接通过浏览器以WEB形式访问，如在手机，IPAD上均能实现对虚拟化平台的管理。</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7.支持能够把x86架构的台式机系统替换成与云终端瘦客户机同样的linux登陆平台。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8.支持视频重定向，以提升播放流畅度及性能，本项目播放1080P高清视频，播放器CPU利用率低于15%，从而降低服务器资源消耗，提升虚拟机部署密度。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9.虚拟桌面支持全屏流畅播1080P视频；同时支持根据连接客户端的分辨率，动态调整虚拟桌面分辨率，并可通过注册表配置方式，选定一些软件指定压缩方式进行图像传输。</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10.云桌面内可以修改桌面系统网络配置，如修改IP地址，重置网络，禁用网络等，修改网络配置不影响桌面用户对桌面的连接管理。</w:t>
            </w:r>
            <w:r>
              <w:rPr>
                <w:rFonts w:hint="eastAsia" w:ascii="仿宋" w:hAnsi="仿宋" w:eastAsia="仿宋" w:cs="仿宋"/>
                <w:color w:val="auto"/>
                <w:sz w:val="24"/>
                <w:szCs w:val="24"/>
              </w:rPr>
              <w:t>也可设置应用程序限制，黑名单或者白名单。</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4</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超融合系统授权</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品牌型号：青葡萄 超融合系统V1.0</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超融合技术参数：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1.支持一键式安装部署，添加存储节点；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2.支持一键添加数据存储磁盘或缓存磁盘，且支持一次添加一块或多块磁盘；</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3.集群支持资源负载、虚拟机数量等多种负载均衡策略</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4.支持数据配置多副本（两副本/三副本）存储，跨磁盘、跨节点、跨机架存储；</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5.支持以图形化界面显示各个数据盘和缓存盘的状态、信息、容量使用情况等，</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6.支持以图形化界面展示虚拟存储在一段时间内（1小时、1天、一周、一个月内）的IOPS、吞吐量、时延的平均值信息。</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7.支持对节点、磁盘、网络产生的相关故障进行告警。其中磁盘故障报警能准确到具体节点的某块磁盘，网络报警能够准确到具体节点的管理网络或数据网络。</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8.支持服务器故障后，关机和运行状态的虚拟机动态迁移，故障HA切换；</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9.支持在B/S架构的管理界面上查询运行日志，日志内容体现操作日期，对应节点名称，日志级别及具体内容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10.支持基于SSD盘/PCIe-SSD卡的分布式读写缓存加速，</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11.支持数据多副本一致性检测和自动修复；</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12.支持磁盘/缓存盘热插拔功能；</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13.支持基于共享密钥的双向身份认证，保护数据安全；</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14.支持存储快照回滚功能，保障系统安全</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15.可智能判断和自动隔离对系统功能/性能产生较大影响或波动的故障节点；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16支持硬盘慢盘检测.。</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17.支持数据自愈功能，新磁盘替换故障的旧磁盘，可通过备份数据自动重建.</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18.支持服务程序软件狗功能，进程异常退出会被自动拉起；</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19.基于网卡bond模式的负载均衡，解决存储的性能瓶颈，提供更高的IOPS和MBPS。</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点</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5</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云课堂教学管理系统</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品牌型号：新聚诚 星安云课堂教学管理系统软件</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 xml:space="preserve">1.可管理190台学生机电脑，支持所有Windows操作系统；软件采用硬件加密狗及序列号双重授权； </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2.软件系统应采用先进的虚拟显卡低层驱动技术，安装部署方便，免拆机插卡、免0.3重新构建分区，纯软件安装。</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 xml:space="preserve">3.屏幕广播与监看时，可以文本静态页面形式也可以多媒体动态画面模式，老师与学生可以可视对讲；                  </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4.主控机器可以同时远程操作和摇控所有终端机器；屏幕录制可以录制成AVI格式自带的_sc格式；</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5.屏幕广播教学时可以设置颜色质量，如1阶灰度、16位中彩色等。支持有线网络、无线网络、无盘云桌面，可以将老师的声音头像实时的录下来直播给学生机器；</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套</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6</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云服务中心管理系统</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品牌型号：青葡萄 云服务中心软件V1.0</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1.支持查看接入平台的节点和虚拟机数量，以及对应的在线与离线状态；</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2.支持节点分账号管理：可以指定不同的管理员账号管理对应的节点，可以是全部或者部分节点；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3.支持通过名称、授权用户、版本号等信息搜索所有接入云管理平台的节点，快速找到要查询的节点；</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 xml:space="preserve">4.支持对管理内服务器SSD寿命、CPU、磁盘IO、内存、交换区、温度、ukey等超过阈值的危险情况进行警戒； </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5.支持对删除模板、快照、存储迁移、擦除数据、回滚、桌面池更换模板等重大事件进行告警；</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6.支持对重点关注节点的启动、重启、关闭、拷贝数据、移动磁盘、创建模板等操作行为进行告警；</w:t>
            </w:r>
          </w:p>
          <w:p>
            <w:pPr>
              <w:widowControl/>
              <w:snapToGrid w:val="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7.支持通过微信告警，当有错误或警告时，可及时向管理员推送微信消息。</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 xml:space="preserve">8.支持以数据、图表、图片、幻灯片播放等形式展示报表信息； </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9.支持对所有节点的总在线数、平均效率、日均使用时长进行报表展示；</w:t>
            </w:r>
          </w:p>
          <w:p>
            <w:pPr>
              <w:widowControl/>
              <w:snapToGrid w:val="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10.支持对所有节点进行效率统计，分析出效率低的原因。支持查看各类活动如工作类、学习类、娱乐类等所占比例，以及各项应用使用时间排行、网页浏览时间排行；</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11.支持对所有节点进行虚拟机使用时间统计，分析出某节点使用率低的原因，以及使用时间分布。</w:t>
            </w:r>
          </w:p>
          <w:p>
            <w:pPr>
              <w:widowControl/>
              <w:snapToGrid w:val="0"/>
              <w:jc w:val="left"/>
              <w:rPr>
                <w:rFonts w:ascii="仿宋" w:hAnsi="仿宋" w:eastAsia="仿宋" w:cs="仿宋"/>
                <w:b/>
                <w:bCs/>
                <w:color w:val="auto"/>
                <w:sz w:val="24"/>
                <w:szCs w:val="24"/>
              </w:rPr>
            </w:pPr>
            <w:r>
              <w:rPr>
                <w:rFonts w:hint="eastAsia" w:ascii="仿宋" w:hAnsi="仿宋" w:eastAsia="仿宋" w:cs="仿宋"/>
                <w:color w:val="auto"/>
                <w:kern w:val="0"/>
                <w:sz w:val="24"/>
                <w:szCs w:val="24"/>
              </w:rPr>
              <w:t>12.软件为自主研发产品，按照竞争性磋商文件要求在提供云服务管理中心的计算机软件著作权复印件。</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套</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7</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教师主机</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品牌型号：HP 288 Pro G4 MT</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sz w:val="24"/>
                <w:szCs w:val="24"/>
              </w:rPr>
              <w:t>I5 9代CPU，8G内存，256G固态硬盘，HDMI接口，音频接口，千兆网口，USB3.0接口2个，USB2.0接口4个。</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8</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无线AP</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品牌型号：华为 AP5050DN-S</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802.11AC千兆无线AP，并发用户50，支持POE供电，千兆电口</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9</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接入交换机</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品牌型号：华为 S1730S-S24T4S-A1</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1.交换容量336Gbps，包转发率42Mpps</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2.24个千兆电口，4个千兆SFP，配置1个千兆光模块</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3、支持4K个VLAN；</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4、支持IPV4、 IPV6静态路由</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5、支持DHCPserver;</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10</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服务器机柜</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品牌型号：威多克 VS6047</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服务器标准机柜，1000*600*2000，KVM系统，双路PDU，网孔，冷轧钢；</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台</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11</w:t>
            </w:r>
          </w:p>
        </w:tc>
        <w:tc>
          <w:tcPr>
            <w:tcW w:w="544" w:type="pct"/>
            <w:vAlign w:val="center"/>
          </w:tcPr>
          <w:p>
            <w:pPr>
              <w:spacing w:line="300" w:lineRule="exact"/>
              <w:rPr>
                <w:rFonts w:ascii="仿宋" w:hAnsi="仿宋" w:eastAsia="仿宋" w:cs="仿宋"/>
                <w:b/>
                <w:bCs/>
                <w:color w:val="auto"/>
                <w:sz w:val="24"/>
                <w:szCs w:val="24"/>
              </w:rPr>
            </w:pPr>
            <w:r>
              <w:rPr>
                <w:rFonts w:hint="eastAsia" w:ascii="仿宋" w:hAnsi="仿宋" w:eastAsia="仿宋" w:cs="仿宋"/>
                <w:color w:val="auto"/>
                <w:sz w:val="24"/>
                <w:szCs w:val="24"/>
              </w:rPr>
              <w:t>综合布线系统</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品牌型号：定制</w:t>
            </w:r>
          </w:p>
          <w:p>
            <w:pPr>
              <w:widowControl/>
              <w:snapToGrid w:val="0"/>
              <w:jc w:val="left"/>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1、提供全部所需光缆的铺设、连通；</w:t>
            </w:r>
          </w:p>
          <w:p>
            <w:pPr>
              <w:widowControl/>
              <w:snapToGrid w:val="0"/>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2、提供配套的配线架、各类所需模块；</w:t>
            </w:r>
          </w:p>
          <w:p>
            <w:pPr>
              <w:widowControl/>
              <w:snapToGrid w:val="0"/>
              <w:jc w:val="left"/>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3、提供全部设备互联互通的配件与服务；</w:t>
            </w:r>
          </w:p>
        </w:tc>
        <w:tc>
          <w:tcPr>
            <w:tcW w:w="0" w:type="auto"/>
            <w:vAlign w:val="center"/>
          </w:tcPr>
          <w:p>
            <w:pPr>
              <w:widowControl/>
              <w:snapToGrid w:val="0"/>
              <w:jc w:val="center"/>
              <w:rPr>
                <w:rFonts w:ascii="仿宋" w:hAnsi="仿宋" w:eastAsia="仿宋" w:cs="仿宋"/>
                <w:b/>
                <w:bCs/>
                <w:color w:val="auto"/>
                <w:sz w:val="24"/>
                <w:szCs w:val="24"/>
              </w:rPr>
            </w:pPr>
            <w:r>
              <w:rPr>
                <w:rFonts w:hint="eastAsia" w:ascii="仿宋" w:hAnsi="仿宋" w:eastAsia="仿宋" w:cs="仿宋"/>
                <w:color w:val="auto"/>
                <w:kern w:val="0"/>
                <w:sz w:val="24"/>
                <w:szCs w:val="24"/>
              </w:rPr>
              <w:t>套</w:t>
            </w:r>
          </w:p>
        </w:tc>
        <w:tc>
          <w:tcPr>
            <w:tcW w:w="0" w:type="auto"/>
            <w:vAlign w:val="center"/>
          </w:tcPr>
          <w:p>
            <w:pPr>
              <w:widowControl/>
              <w:jc w:val="center"/>
              <w:textAlignment w:val="center"/>
              <w:rPr>
                <w:rFonts w:ascii="仿宋" w:hAnsi="仿宋" w:eastAsia="仿宋" w:cs="仿宋"/>
                <w:b/>
                <w:bCs/>
                <w:color w:val="auto"/>
                <w:sz w:val="24"/>
                <w:szCs w:val="24"/>
              </w:rPr>
            </w:pPr>
            <w:r>
              <w:rPr>
                <w:rFonts w:hint="eastAsia" w:ascii="仿宋" w:hAnsi="仿宋" w:eastAsia="仿宋" w:cs="仿宋"/>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sz w:val="24"/>
                <w:szCs w:val="24"/>
              </w:rPr>
              <w:t>12</w:t>
            </w:r>
          </w:p>
        </w:tc>
        <w:tc>
          <w:tcPr>
            <w:tcW w:w="544" w:type="pct"/>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sz w:val="24"/>
                <w:szCs w:val="24"/>
              </w:rPr>
              <w:t>服务器内存升级</w:t>
            </w:r>
          </w:p>
        </w:tc>
        <w:tc>
          <w:tcPr>
            <w:tcW w:w="3801" w:type="pct"/>
            <w:vAlign w:val="center"/>
          </w:tcPr>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品牌型号：定制</w:t>
            </w:r>
          </w:p>
          <w:p>
            <w:pPr>
              <w:widowControl/>
              <w:snapToGrid w:val="0"/>
              <w:jc w:val="left"/>
              <w:textAlignment w:val="center"/>
              <w:rPr>
                <w:rFonts w:ascii="仿宋" w:hAnsi="仿宋" w:eastAsia="仿宋" w:cs="仿宋"/>
                <w:color w:val="auto"/>
                <w:sz w:val="24"/>
                <w:szCs w:val="24"/>
              </w:rPr>
            </w:pPr>
            <w:r>
              <w:rPr>
                <w:rFonts w:hint="eastAsia" w:ascii="仿宋" w:hAnsi="仿宋" w:eastAsia="仿宋" w:cs="仿宋"/>
                <w:color w:val="auto"/>
                <w:sz w:val="24"/>
                <w:szCs w:val="24"/>
              </w:rPr>
              <w:t>关键、主要内容描述：</w:t>
            </w:r>
          </w:p>
          <w:p>
            <w:pPr>
              <w:snapToGrid w:val="0"/>
              <w:rPr>
                <w:rFonts w:ascii="仿宋" w:hAnsi="仿宋" w:eastAsia="仿宋" w:cs="仿宋"/>
                <w:color w:val="auto"/>
                <w:sz w:val="24"/>
                <w:szCs w:val="24"/>
              </w:rPr>
            </w:pPr>
            <w:r>
              <w:rPr>
                <w:rFonts w:hint="eastAsia" w:ascii="仿宋" w:hAnsi="仿宋" w:eastAsia="仿宋" w:cs="仿宋"/>
                <w:color w:val="auto"/>
                <w:kern w:val="0"/>
                <w:sz w:val="24"/>
                <w:szCs w:val="24"/>
              </w:rPr>
              <w:t>32G内存 DDR4 2666M，负责安装实施，并确保原系统正常运行。</w:t>
            </w:r>
          </w:p>
        </w:tc>
        <w:tc>
          <w:tcPr>
            <w:tcW w:w="0" w:type="auto"/>
            <w:vAlign w:val="center"/>
          </w:tcPr>
          <w:p>
            <w:pPr>
              <w:widowControl/>
              <w:snapToGrid w:val="0"/>
              <w:jc w:val="center"/>
              <w:rPr>
                <w:rFonts w:ascii="仿宋" w:hAnsi="仿宋" w:eastAsia="仿宋" w:cs="仿宋"/>
                <w:color w:val="auto"/>
                <w:sz w:val="24"/>
                <w:szCs w:val="24"/>
              </w:rPr>
            </w:pPr>
            <w:r>
              <w:rPr>
                <w:rFonts w:hint="eastAsia" w:ascii="仿宋" w:hAnsi="仿宋" w:eastAsia="仿宋" w:cs="仿宋"/>
                <w:color w:val="auto"/>
                <w:kern w:val="0"/>
                <w:sz w:val="24"/>
                <w:szCs w:val="24"/>
              </w:rPr>
              <w:t>条</w:t>
            </w:r>
          </w:p>
        </w:tc>
        <w:tc>
          <w:tcPr>
            <w:tcW w:w="0" w:type="auto"/>
            <w:vAlign w:val="center"/>
          </w:tcPr>
          <w:p>
            <w:pPr>
              <w:widowControl/>
              <w:jc w:val="center"/>
              <w:textAlignment w:val="center"/>
              <w:rPr>
                <w:rFonts w:ascii="仿宋" w:hAnsi="仿宋" w:eastAsia="仿宋" w:cs="仿宋"/>
                <w:color w:val="auto"/>
                <w:sz w:val="24"/>
                <w:szCs w:val="24"/>
              </w:rPr>
            </w:pPr>
            <w:r>
              <w:rPr>
                <w:rFonts w:hint="eastAsia" w:ascii="仿宋" w:hAnsi="仿宋" w:eastAsia="仿宋" w:cs="仿宋"/>
                <w:color w:val="auto"/>
                <w:kern w:val="0"/>
                <w:sz w:val="24"/>
                <w:szCs w:val="24"/>
              </w:rPr>
              <w:t>28</w:t>
            </w:r>
          </w:p>
        </w:tc>
      </w:tr>
    </w:tbl>
    <w:p>
      <w:pPr>
        <w:rPr>
          <w:color w:val="auto"/>
        </w:rPr>
      </w:pPr>
    </w:p>
    <w:p>
      <w:pPr>
        <w:pStyle w:val="8"/>
        <w:rPr>
          <w:color w:val="auto"/>
        </w:rPr>
      </w:pPr>
    </w:p>
    <w:p>
      <w:pPr>
        <w:pStyle w:val="8"/>
        <w:rPr>
          <w:color w:val="auto"/>
        </w:rPr>
      </w:pPr>
    </w:p>
    <w:p>
      <w:pPr>
        <w:spacing w:line="360" w:lineRule="auto"/>
        <w:rPr>
          <w:rFonts w:ascii="仿宋" w:hAnsi="仿宋" w:eastAsia="仿宋" w:cs="仿宋"/>
          <w:color w:val="auto"/>
          <w:kern w:val="0"/>
          <w:sz w:val="28"/>
          <w:szCs w:val="28"/>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color w:val="auto"/>
          <w:kern w:val="0"/>
          <w:sz w:val="28"/>
          <w:szCs w:val="28"/>
        </w:rPr>
        <w:br w:type="page"/>
      </w:r>
    </w:p>
    <w:p>
      <w:pPr>
        <w:spacing w:line="360" w:lineRule="auto"/>
        <w:rPr>
          <w:rFonts w:ascii="仿宋" w:hAnsi="仿宋" w:eastAsia="仿宋" w:cs="仿宋"/>
          <w:color w:val="auto"/>
          <w:sz w:val="28"/>
          <w:szCs w:val="28"/>
        </w:rPr>
      </w:pPr>
      <w:r>
        <w:rPr>
          <w:rFonts w:hint="eastAsia" w:ascii="仿宋" w:hAnsi="仿宋" w:eastAsia="仿宋" w:cs="仿宋"/>
          <w:color w:val="auto"/>
          <w:kern w:val="0"/>
          <w:sz w:val="28"/>
          <w:szCs w:val="28"/>
        </w:rPr>
        <w:t xml:space="preserve">附件3：            </w:t>
      </w:r>
      <w:r>
        <w:rPr>
          <w:rFonts w:hint="eastAsia" w:ascii="仿宋" w:hAnsi="仿宋" w:eastAsia="仿宋" w:cs="仿宋"/>
          <w:color w:val="auto"/>
          <w:sz w:val="28"/>
          <w:szCs w:val="28"/>
        </w:rPr>
        <w:t xml:space="preserve">      </w:t>
      </w:r>
    </w:p>
    <w:p>
      <w:pPr>
        <w:spacing w:line="360" w:lineRule="auto"/>
        <w:rPr>
          <w:rFonts w:ascii="仿宋" w:hAnsi="仿宋" w:eastAsia="仿宋" w:cs="仿宋"/>
          <w:b/>
          <w:bCs/>
          <w:color w:val="auto"/>
          <w:sz w:val="36"/>
          <w:szCs w:val="36"/>
        </w:rPr>
      </w:pPr>
      <w:r>
        <w:rPr>
          <w:rFonts w:hint="eastAsia" w:ascii="仿宋" w:hAnsi="仿宋" w:eastAsia="仿宋" w:cs="仿宋"/>
          <w:b/>
          <w:bCs/>
          <w:color w:val="auto"/>
          <w:sz w:val="28"/>
          <w:szCs w:val="28"/>
        </w:rPr>
        <w:t xml:space="preserve">                  </w:t>
      </w:r>
      <w:r>
        <w:rPr>
          <w:rFonts w:hint="eastAsia" w:ascii="仿宋" w:hAnsi="仿宋" w:eastAsia="仿宋" w:cs="仿宋"/>
          <w:b/>
          <w:bCs/>
          <w:color w:val="auto"/>
          <w:sz w:val="36"/>
          <w:szCs w:val="36"/>
        </w:rPr>
        <w:t xml:space="preserve"> 售后服务计划及保障措施</w:t>
      </w:r>
    </w:p>
    <w:p>
      <w:pPr>
        <w:adjustRightInd w:val="0"/>
        <w:snapToGrid w:val="0"/>
        <w:spacing w:line="360" w:lineRule="auto"/>
        <w:ind w:firstLine="480" w:firstLineChars="200"/>
        <w:rPr>
          <w:rFonts w:ascii="宋体" w:hAnsi="宋体" w:cs="宋体"/>
          <w:b/>
          <w:color w:val="auto"/>
          <w:sz w:val="24"/>
          <w:szCs w:val="24"/>
        </w:rPr>
      </w:pPr>
      <w:r>
        <w:rPr>
          <w:rFonts w:hint="eastAsia" w:ascii="宋体" w:hAnsi="宋体" w:cs="宋体"/>
          <w:color w:val="auto"/>
          <w:sz w:val="24"/>
          <w:szCs w:val="24"/>
        </w:rPr>
        <w:t>公司承诺，在</w:t>
      </w:r>
      <w:r>
        <w:rPr>
          <w:rFonts w:hint="eastAsia" w:ascii="宋体" w:hAnsi="宋体" w:cs="宋体"/>
          <w:b/>
          <w:bCs/>
          <w:color w:val="auto"/>
          <w:sz w:val="24"/>
          <w:szCs w:val="24"/>
          <w:u w:val="single"/>
        </w:rPr>
        <w:t>豫财磋商采购-2021-1228</w:t>
      </w:r>
      <w:r>
        <w:rPr>
          <w:rFonts w:hint="eastAsia" w:ascii="宋体" w:hAnsi="宋体" w:cs="宋体"/>
          <w:color w:val="auto"/>
          <w:sz w:val="24"/>
          <w:szCs w:val="24"/>
        </w:rPr>
        <w:t>的</w:t>
      </w:r>
      <w:r>
        <w:rPr>
          <w:rFonts w:hint="eastAsia" w:ascii="宋体" w:hAnsi="宋体" w:cs="宋体"/>
          <w:b/>
          <w:bCs/>
          <w:color w:val="auto"/>
          <w:sz w:val="24"/>
          <w:szCs w:val="24"/>
          <w:u w:val="single"/>
        </w:rPr>
        <w:t>郑州大学信息工程学院云平台实验管理项目</w:t>
      </w:r>
      <w:r>
        <w:rPr>
          <w:rFonts w:hint="eastAsia" w:ascii="宋体" w:hAnsi="宋体" w:cs="宋体"/>
          <w:color w:val="auto"/>
          <w:sz w:val="24"/>
          <w:szCs w:val="24"/>
        </w:rPr>
        <w:t xml:space="preserve"> 中，若我方中标并签订合同，我方承诺为</w:t>
      </w:r>
      <w:r>
        <w:rPr>
          <w:rFonts w:hint="eastAsia" w:ascii="宋体" w:hAnsi="宋体" w:cs="宋体"/>
          <w:b/>
          <w:color w:val="auto"/>
          <w:sz w:val="24"/>
          <w:szCs w:val="24"/>
        </w:rPr>
        <w:t>本次项目所投设备硬件、软件3年，从验收合格之日起开始计算。对项目设备在质保期内实行包修、包换、包退等三包服务，不再向用户收取任何费用。质保期外所有设备免费保修，并以市场最低价格提供配件。</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在保修期内对影响生产的软件故障提供7*24服务，1小时内响应，2小时内提供补救方案，4小时内恢复；对不影响生产的软件故障，提供7*24服务，1小时内响应，1日内恢复。硬件自接到用户报修时起4小时内响应，24小时内到达现场，48小时内到达用户现场并解决问题，如不能及时解决问题要提供备机服务，直到原设备修复。</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在质保期外自接到用户报修时起4小时内响应，24小时内到达现场，48小时内到达用户现场并解决问题，如不能及时解决问题要提供备机服务，直到原设备修复。</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质保期内定期巡检，每年两次(每学期一次)免费上门服务（人力+配件），终身保修。</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我方对所供设备生产的全过程严格按质量保证体系执行。</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公司提供24小时电话咨询及技术支持服务。</w:t>
      </w:r>
    </w:p>
    <w:p>
      <w:pPr>
        <w:adjustRightInd w:val="0"/>
        <w:snapToGrid w:val="0"/>
        <w:ind w:firstLine="480" w:firstLineChars="200"/>
        <w:rPr>
          <w:rFonts w:ascii="宋体" w:hAnsi="宋体" w:cs="宋体"/>
          <w:color w:val="auto"/>
          <w:sz w:val="24"/>
          <w:szCs w:val="24"/>
        </w:rPr>
      </w:pPr>
      <w:r>
        <w:rPr>
          <w:rFonts w:hint="eastAsia" w:ascii="宋体" w:hAnsi="宋体" w:cs="宋体"/>
          <w:color w:val="auto"/>
          <w:sz w:val="24"/>
          <w:szCs w:val="24"/>
        </w:rPr>
        <w:t>服务电话：18937173709</w:t>
      </w:r>
    </w:p>
    <w:p>
      <w:pPr>
        <w:spacing w:line="360" w:lineRule="auto"/>
        <w:rPr>
          <w:rFonts w:ascii="仿宋" w:hAnsi="仿宋" w:eastAsia="仿宋" w:cs="仿宋"/>
          <w:b/>
          <w:bCs/>
          <w:color w:val="auto"/>
          <w:sz w:val="24"/>
          <w:szCs w:val="24"/>
        </w:rPr>
      </w:pPr>
    </w:p>
    <w:p>
      <w:pPr>
        <w:spacing w:line="360" w:lineRule="auto"/>
        <w:rPr>
          <w:rFonts w:ascii="仿宋" w:hAnsi="仿宋" w:eastAsia="仿宋" w:cs="仿宋"/>
          <w:b/>
          <w:bCs/>
          <w:color w:val="auto"/>
          <w:sz w:val="24"/>
          <w:szCs w:val="24"/>
        </w:rPr>
      </w:pPr>
    </w:p>
    <w:p>
      <w:pPr>
        <w:spacing w:line="360" w:lineRule="auto"/>
        <w:rPr>
          <w:rFonts w:ascii="仿宋" w:hAnsi="仿宋" w:eastAsia="仿宋" w:cs="仿宋"/>
          <w:b/>
          <w:bCs/>
          <w:color w:val="auto"/>
          <w:sz w:val="24"/>
          <w:szCs w:val="24"/>
        </w:rPr>
      </w:pPr>
    </w:p>
    <w:p>
      <w:pPr>
        <w:spacing w:line="360" w:lineRule="auto"/>
        <w:rPr>
          <w:rFonts w:ascii="仿宋" w:hAnsi="仿宋" w:eastAsia="仿宋" w:cs="仿宋"/>
          <w:b/>
          <w:bCs/>
          <w:color w:val="auto"/>
          <w:sz w:val="24"/>
          <w:szCs w:val="24"/>
        </w:rPr>
      </w:pPr>
    </w:p>
    <w:p>
      <w:pPr>
        <w:spacing w:line="360" w:lineRule="auto"/>
        <w:jc w:val="right"/>
        <w:rPr>
          <w:rFonts w:ascii="仿宋" w:hAnsi="仿宋" w:eastAsia="仿宋" w:cs="仿宋"/>
          <w:b/>
          <w:bCs/>
          <w:color w:val="auto"/>
          <w:sz w:val="28"/>
          <w:szCs w:val="28"/>
        </w:rPr>
      </w:pPr>
      <w:r>
        <w:rPr>
          <w:rFonts w:hint="eastAsia" w:ascii="宋体" w:hAnsi="宋体" w:cs="宋体"/>
          <w:bCs/>
          <w:color w:val="auto"/>
          <w:kern w:val="0"/>
          <w:sz w:val="24"/>
          <w:szCs w:val="24"/>
        </w:rPr>
        <w:t>供应商名称：河南新聚诚信息科技有限公司</w:t>
      </w:r>
    </w:p>
    <w:p>
      <w:pPr>
        <w:spacing w:line="360" w:lineRule="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                           （由制造商及中标商签字盖章确认）</w:t>
      </w:r>
    </w:p>
    <w:p>
      <w:pPr>
        <w:rPr>
          <w:rFonts w:ascii="仿宋" w:hAnsi="仿宋" w:eastAsia="仿宋" w:cs="仿宋"/>
          <w:b/>
          <w:bCs/>
          <w:color w:val="auto"/>
          <w:sz w:val="28"/>
          <w:szCs w:val="28"/>
        </w:rPr>
      </w:pPr>
      <w:r>
        <w:rPr>
          <w:rFonts w:hint="eastAsia" w:ascii="仿宋" w:hAnsi="仿宋" w:eastAsia="仿宋" w:cs="仿宋"/>
          <w:b/>
          <w:bCs/>
          <w:color w:val="auto"/>
          <w:sz w:val="28"/>
          <w:szCs w:val="28"/>
        </w:rPr>
        <w:br w:type="page"/>
      </w:r>
      <w:r>
        <w:rPr>
          <w:rFonts w:hint="eastAsia" w:ascii="仿宋" w:hAnsi="仿宋" w:eastAsia="仿宋" w:cs="仿宋"/>
          <w:color w:val="auto"/>
          <w:sz w:val="28"/>
          <w:szCs w:val="28"/>
        </w:rPr>
        <w:t>附件4：</w:t>
      </w:r>
      <w:r>
        <w:rPr>
          <w:rFonts w:hint="eastAsia" w:ascii="仿宋" w:hAnsi="仿宋" w:eastAsia="仿宋" w:cs="仿宋"/>
          <w:b/>
          <w:bCs/>
          <w:color w:val="auto"/>
          <w:sz w:val="28"/>
          <w:szCs w:val="28"/>
        </w:rPr>
        <w:t xml:space="preserve">       </w:t>
      </w:r>
    </w:p>
    <w:p>
      <w:pPr>
        <w:spacing w:line="360" w:lineRule="auto"/>
        <w:rPr>
          <w:rFonts w:ascii="仿宋" w:hAnsi="仿宋" w:eastAsia="仿宋" w:cs="仿宋"/>
          <w:b/>
          <w:bCs/>
          <w:color w:val="auto"/>
          <w:sz w:val="36"/>
          <w:szCs w:val="36"/>
        </w:rPr>
      </w:pPr>
      <w:r>
        <w:rPr>
          <w:rFonts w:hint="eastAsia" w:ascii="仿宋" w:hAnsi="仿宋" w:eastAsia="仿宋" w:cs="仿宋"/>
          <w:b/>
          <w:bCs/>
          <w:color w:val="auto"/>
          <w:sz w:val="28"/>
          <w:szCs w:val="28"/>
        </w:rPr>
        <w:t xml:space="preserve">             </w:t>
      </w:r>
      <w:r>
        <w:rPr>
          <w:rFonts w:hint="eastAsia" w:ascii="仿宋" w:hAnsi="仿宋" w:eastAsia="仿宋" w:cs="仿宋"/>
          <w:b/>
          <w:bCs/>
          <w:color w:val="auto"/>
          <w:sz w:val="36"/>
          <w:szCs w:val="36"/>
        </w:rPr>
        <w:t>郑州大学仪器设备初步验收单</w:t>
      </w:r>
    </w:p>
    <w:p>
      <w:pPr>
        <w:ind w:firstLine="354" w:firstLineChars="147"/>
        <w:rPr>
          <w:rFonts w:ascii="仿宋" w:hAnsi="仿宋" w:eastAsia="仿宋" w:cs="仿宋"/>
          <w:b/>
          <w:bCs/>
          <w:color w:val="auto"/>
          <w:sz w:val="24"/>
          <w:szCs w:val="24"/>
        </w:rPr>
      </w:pPr>
      <w:r>
        <w:rPr>
          <w:rFonts w:hint="eastAsia" w:ascii="仿宋" w:hAnsi="仿宋" w:eastAsia="仿宋" w:cs="仿宋"/>
          <w:b/>
          <w:bCs/>
          <w:color w:val="auto"/>
          <w:sz w:val="24"/>
          <w:szCs w:val="24"/>
        </w:rPr>
        <w:t>No.                                         年   月   日</w:t>
      </w:r>
    </w:p>
    <w:tbl>
      <w:tblPr>
        <w:tblStyle w:val="6"/>
        <w:tblW w:w="88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46"/>
        <w:gridCol w:w="91"/>
        <w:gridCol w:w="759"/>
        <w:gridCol w:w="731"/>
        <w:gridCol w:w="1102"/>
        <w:gridCol w:w="147"/>
        <w:gridCol w:w="1485"/>
        <w:gridCol w:w="6"/>
        <w:gridCol w:w="564"/>
        <w:gridCol w:w="371"/>
        <w:gridCol w:w="325"/>
        <w:gridCol w:w="382"/>
        <w:gridCol w:w="498"/>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06" w:type="dxa"/>
            <w:gridSpan w:val="2"/>
            <w:tcBorders>
              <w:top w:val="single" w:color="auto" w:sz="12" w:space="0"/>
              <w:left w:val="single" w:color="auto" w:sz="12" w:space="0"/>
              <w:bottom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使用单位</w:t>
            </w:r>
          </w:p>
        </w:tc>
        <w:tc>
          <w:tcPr>
            <w:tcW w:w="1581" w:type="dxa"/>
            <w:gridSpan w:val="3"/>
            <w:tcBorders>
              <w:top w:val="single" w:color="auto" w:sz="12" w:space="0"/>
              <w:left w:val="single" w:color="auto" w:sz="2" w:space="0"/>
              <w:bottom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郑州大学</w:t>
            </w:r>
          </w:p>
        </w:tc>
        <w:tc>
          <w:tcPr>
            <w:tcW w:w="1249" w:type="dxa"/>
            <w:gridSpan w:val="2"/>
            <w:tcBorders>
              <w:top w:val="single" w:color="auto" w:sz="12" w:space="0"/>
              <w:left w:val="single" w:color="auto" w:sz="2" w:space="0"/>
              <w:bottom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使用人</w:t>
            </w:r>
          </w:p>
        </w:tc>
        <w:tc>
          <w:tcPr>
            <w:tcW w:w="1485" w:type="dxa"/>
            <w:tcBorders>
              <w:top w:val="single" w:color="auto" w:sz="12" w:space="0"/>
              <w:left w:val="single" w:color="auto" w:sz="2" w:space="0"/>
              <w:bottom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郑州大学</w:t>
            </w:r>
          </w:p>
        </w:tc>
        <w:tc>
          <w:tcPr>
            <w:tcW w:w="1648" w:type="dxa"/>
            <w:gridSpan w:val="5"/>
            <w:tcBorders>
              <w:top w:val="single" w:color="auto" w:sz="12" w:space="0"/>
              <w:left w:val="single" w:color="auto" w:sz="2" w:space="0"/>
              <w:bottom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合同编号</w:t>
            </w:r>
          </w:p>
        </w:tc>
        <w:tc>
          <w:tcPr>
            <w:tcW w:w="1684" w:type="dxa"/>
            <w:gridSpan w:val="2"/>
            <w:tcBorders>
              <w:top w:val="single" w:color="auto" w:sz="12" w:space="0"/>
              <w:left w:val="single" w:color="auto" w:sz="2" w:space="0"/>
              <w:bottom w:val="single" w:color="auto" w:sz="2" w:space="0"/>
              <w:right w:val="single" w:color="auto" w:sz="12" w:space="0"/>
            </w:tcBorders>
            <w:vAlign w:val="center"/>
          </w:tcPr>
          <w:p>
            <w:pPr>
              <w:jc w:val="center"/>
              <w:rPr>
                <w:rFonts w:ascii="仿宋" w:hAnsi="仿宋" w:eastAsia="仿宋" w:cs="仿宋"/>
                <w:color w:val="auto"/>
              </w:rPr>
            </w:pPr>
            <w:r>
              <w:rPr>
                <w:rFonts w:hint="eastAsia" w:ascii="仿宋" w:hAnsi="仿宋" w:eastAsia="仿宋" w:cs="仿宋"/>
                <w:color w:val="auto"/>
              </w:rPr>
              <w:t>豫财磋商采购-2021-1228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06" w:type="dxa"/>
            <w:gridSpan w:val="2"/>
            <w:tcBorders>
              <w:left w:val="single" w:color="auto" w:sz="1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供货商</w:t>
            </w:r>
          </w:p>
        </w:tc>
        <w:tc>
          <w:tcPr>
            <w:tcW w:w="4321" w:type="dxa"/>
            <w:gridSpan w:val="7"/>
            <w:tcBorders>
              <w:left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河南新聚诚信息科技有限公司</w:t>
            </w:r>
          </w:p>
        </w:tc>
        <w:tc>
          <w:tcPr>
            <w:tcW w:w="1642" w:type="dxa"/>
            <w:gridSpan w:val="4"/>
            <w:tcBorders>
              <w:left w:val="single" w:color="auto" w:sz="2" w:space="0"/>
              <w:right w:val="single" w:color="auto" w:sz="2" w:space="0"/>
            </w:tcBorders>
            <w:vAlign w:val="center"/>
          </w:tcPr>
          <w:p>
            <w:pPr>
              <w:jc w:val="center"/>
              <w:rPr>
                <w:rFonts w:ascii="仿宋" w:hAnsi="仿宋" w:eastAsia="仿宋" w:cs="仿宋"/>
                <w:color w:val="auto"/>
              </w:rPr>
            </w:pPr>
            <w:r>
              <w:rPr>
                <w:rFonts w:hint="eastAsia" w:ascii="仿宋" w:hAnsi="仿宋" w:eastAsia="仿宋" w:cs="仿宋"/>
                <w:color w:val="auto"/>
              </w:rPr>
              <w:t xml:space="preserve">合同总金额   </w:t>
            </w:r>
          </w:p>
        </w:tc>
        <w:tc>
          <w:tcPr>
            <w:tcW w:w="1684" w:type="dxa"/>
            <w:gridSpan w:val="2"/>
            <w:tcBorders>
              <w:left w:val="single" w:color="auto" w:sz="2" w:space="0"/>
              <w:right w:val="single" w:color="auto" w:sz="12" w:space="0"/>
            </w:tcBorders>
            <w:vAlign w:val="center"/>
          </w:tcPr>
          <w:p>
            <w:pPr>
              <w:widowControl/>
              <w:jc w:val="center"/>
              <w:textAlignment w:val="center"/>
              <w:rPr>
                <w:rFonts w:ascii="宋体" w:hAnsi="宋体" w:cs="宋体"/>
                <w:color w:val="auto"/>
                <w:sz w:val="22"/>
              </w:rPr>
            </w:pPr>
            <w:r>
              <w:rPr>
                <w:rFonts w:hint="eastAsia" w:ascii="仿宋" w:hAnsi="仿宋" w:eastAsia="仿宋" w:cs="仿宋"/>
                <w:color w:val="auto"/>
              </w:rPr>
              <w:t>1473990元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853" w:type="dxa"/>
            <w:gridSpan w:val="15"/>
            <w:tcBorders>
              <w:left w:val="single" w:color="auto" w:sz="12" w:space="0"/>
              <w:right w:val="single" w:color="auto" w:sz="12" w:space="0"/>
            </w:tcBorders>
            <w:vAlign w:val="center"/>
          </w:tcPr>
          <w:p>
            <w:pPr>
              <w:jc w:val="center"/>
              <w:rPr>
                <w:rFonts w:ascii="仿宋" w:hAnsi="仿宋" w:eastAsia="仿宋" w:cs="仿宋"/>
                <w:color w:val="auto"/>
              </w:rPr>
            </w:pPr>
            <w:r>
              <w:rPr>
                <w:rFonts w:hint="eastAsia" w:ascii="仿宋" w:hAnsi="仿宋" w:eastAsia="仿宋" w:cs="仿宋"/>
                <w:color w:val="auto"/>
              </w:rPr>
              <w:t>设备明细（品名、型号、规格、生产厂家、数量、金额等，不够可另附表）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60" w:type="dxa"/>
            <w:tcBorders>
              <w:left w:val="single" w:color="auto" w:sz="12" w:space="0"/>
              <w:bottom w:val="single" w:color="auto" w:sz="2" w:space="0"/>
              <w:right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序号</w:t>
            </w:r>
          </w:p>
        </w:tc>
        <w:tc>
          <w:tcPr>
            <w:tcW w:w="1096" w:type="dxa"/>
            <w:gridSpan w:val="3"/>
            <w:tcBorders>
              <w:left w:val="single" w:color="auto" w:sz="2" w:space="0"/>
              <w:bottom w:val="single" w:color="auto" w:sz="2" w:space="0"/>
              <w:right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品名</w:t>
            </w:r>
          </w:p>
        </w:tc>
        <w:tc>
          <w:tcPr>
            <w:tcW w:w="1833" w:type="dxa"/>
            <w:gridSpan w:val="2"/>
            <w:tcBorders>
              <w:left w:val="single" w:color="auto" w:sz="2" w:space="0"/>
              <w:bottom w:val="single" w:color="auto" w:sz="2" w:space="0"/>
              <w:right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技术参数</w:t>
            </w:r>
          </w:p>
          <w:p>
            <w:pPr>
              <w:jc w:val="center"/>
              <w:rPr>
                <w:rFonts w:ascii="仿宋" w:hAnsi="仿宋" w:eastAsia="仿宋" w:cs="仿宋"/>
                <w:b/>
                <w:bCs/>
                <w:color w:val="auto"/>
              </w:rPr>
            </w:pPr>
            <w:r>
              <w:rPr>
                <w:rFonts w:hint="eastAsia" w:ascii="仿宋" w:hAnsi="仿宋" w:eastAsia="仿宋" w:cs="仿宋"/>
                <w:b/>
                <w:bCs/>
                <w:color w:val="auto"/>
              </w:rPr>
              <w:t>（规格型号）</w:t>
            </w:r>
          </w:p>
        </w:tc>
        <w:tc>
          <w:tcPr>
            <w:tcW w:w="2202" w:type="dxa"/>
            <w:gridSpan w:val="4"/>
            <w:tcBorders>
              <w:left w:val="single" w:color="auto" w:sz="2" w:space="0"/>
              <w:bottom w:val="single" w:color="auto" w:sz="2" w:space="0"/>
              <w:right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生产厂家（产地）</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数量</w:t>
            </w:r>
          </w:p>
        </w:tc>
        <w:tc>
          <w:tcPr>
            <w:tcW w:w="880" w:type="dxa"/>
            <w:gridSpan w:val="2"/>
            <w:tcBorders>
              <w:top w:val="single" w:color="auto" w:sz="2" w:space="0"/>
              <w:left w:val="single" w:color="auto" w:sz="2" w:space="0"/>
              <w:bottom w:val="single" w:color="auto" w:sz="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单位</w:t>
            </w:r>
          </w:p>
        </w:tc>
        <w:tc>
          <w:tcPr>
            <w:tcW w:w="1186" w:type="dxa"/>
            <w:tcBorders>
              <w:bottom w:val="single" w:color="auto" w:sz="2" w:space="0"/>
              <w:right w:val="single" w:color="auto" w:sz="12" w:space="0"/>
            </w:tcBorders>
            <w:vAlign w:val="center"/>
          </w:tcPr>
          <w:p>
            <w:pPr>
              <w:jc w:val="center"/>
              <w:rPr>
                <w:rFonts w:ascii="仿宋" w:hAnsi="仿宋" w:eastAsia="仿宋" w:cs="仿宋"/>
                <w:b/>
                <w:bCs/>
                <w:color w:val="auto"/>
              </w:rPr>
            </w:pPr>
            <w:r>
              <w:rPr>
                <w:rFonts w:hint="eastAsia" w:ascii="仿宋" w:hAnsi="仿宋" w:eastAsia="仿宋" w:cs="仿宋"/>
                <w:b/>
                <w:bCs/>
                <w:color w:val="auto"/>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1</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云主机服务器</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长城超云 R5210 G11</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长城超云（北京）科技有限公司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6</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522000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2</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云桌面系统软件</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青葡萄 云桌面虚拟化系统V8.0</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190</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点</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262200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3</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终端系统</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青葡萄 TA410</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190</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486400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4</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超融合系统授权</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青葡萄 超融合系统V1.0</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190</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点</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5</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云课堂教学管理系统</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新聚诚 星安云课堂教学管理系统软件</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套</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6</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云服务中心管理系统</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青葡萄 云服务中心软件V1.0</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深圳市青葡萄科技有限公司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套</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7</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教师主机</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HP 288 Pro G4 MT</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纬创资通（重庆）有限公司</w:t>
            </w:r>
          </w:p>
          <w:p>
            <w:pPr>
              <w:spacing w:line="300" w:lineRule="exact"/>
              <w:rPr>
                <w:rFonts w:ascii="仿宋" w:hAnsi="仿宋" w:eastAsia="仿宋" w:cs="仿宋"/>
                <w:color w:val="auto"/>
              </w:rPr>
            </w:pP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8</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无线AP</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华为 AP5050DN-S</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华为技术有限公司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9</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接入交换机</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华为</w:t>
            </w:r>
          </w:p>
          <w:p>
            <w:pPr>
              <w:spacing w:line="300" w:lineRule="exact"/>
              <w:rPr>
                <w:rFonts w:ascii="仿宋" w:hAnsi="仿宋" w:eastAsia="仿宋" w:cs="仿宋"/>
                <w:color w:val="auto"/>
                <w:sz w:val="24"/>
                <w:szCs w:val="24"/>
              </w:rPr>
            </w:pPr>
            <w:r>
              <w:rPr>
                <w:rFonts w:hint="eastAsia" w:ascii="仿宋" w:hAnsi="仿宋" w:eastAsia="仿宋" w:cs="仿宋"/>
                <w:color w:val="auto"/>
              </w:rPr>
              <w:t>S1730S-S24T4S-A1</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华为技术有限公司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8</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10</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服务器机柜</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威多克 VS6047</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山西威图腾科技有限公司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1</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台</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8890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11</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综合布线系统</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定制</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4</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套</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0" w:type="dxa"/>
            <w:tcBorders>
              <w:top w:val="single" w:color="auto" w:sz="2" w:space="0"/>
              <w:left w:val="single" w:color="auto" w:sz="1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12</w:t>
            </w:r>
          </w:p>
        </w:tc>
        <w:tc>
          <w:tcPr>
            <w:tcW w:w="1096" w:type="dxa"/>
            <w:gridSpan w:val="3"/>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服务器内存升级</w:t>
            </w:r>
          </w:p>
        </w:tc>
        <w:tc>
          <w:tcPr>
            <w:tcW w:w="1833"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sz w:val="24"/>
                <w:szCs w:val="24"/>
              </w:rPr>
            </w:pPr>
            <w:r>
              <w:rPr>
                <w:rFonts w:hint="eastAsia" w:ascii="仿宋" w:hAnsi="仿宋" w:eastAsia="仿宋" w:cs="仿宋"/>
                <w:color w:val="auto"/>
              </w:rPr>
              <w:t>定制</w:t>
            </w:r>
          </w:p>
        </w:tc>
        <w:tc>
          <w:tcPr>
            <w:tcW w:w="2202" w:type="dxa"/>
            <w:gridSpan w:val="4"/>
            <w:tcBorders>
              <w:top w:val="single" w:color="auto" w:sz="2" w:space="0"/>
              <w:left w:val="single" w:color="auto" w:sz="2" w:space="0"/>
              <w:bottom w:val="single" w:color="auto" w:sz="2" w:space="0"/>
              <w:right w:val="single" w:color="auto" w:sz="2" w:space="0"/>
            </w:tcBorders>
            <w:vAlign w:val="center"/>
          </w:tcPr>
          <w:p>
            <w:pPr>
              <w:spacing w:line="300" w:lineRule="exact"/>
              <w:rPr>
                <w:rFonts w:ascii="仿宋" w:hAnsi="仿宋" w:eastAsia="仿宋" w:cs="仿宋"/>
                <w:color w:val="auto"/>
              </w:rPr>
            </w:pPr>
            <w:r>
              <w:rPr>
                <w:rFonts w:hint="eastAsia" w:ascii="仿宋" w:hAnsi="仿宋" w:eastAsia="仿宋" w:cs="仿宋"/>
                <w:color w:val="auto"/>
              </w:rPr>
              <w:t>河南新聚诚信息科技有限公司</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28</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条</w:t>
            </w:r>
          </w:p>
        </w:tc>
        <w:tc>
          <w:tcPr>
            <w:tcW w:w="1186" w:type="dxa"/>
            <w:tcBorders>
              <w:top w:val="single" w:color="auto" w:sz="2" w:space="0"/>
              <w:left w:val="single" w:color="auto" w:sz="2" w:space="0"/>
              <w:bottom w:val="single" w:color="auto" w:sz="2" w:space="0"/>
              <w:right w:val="single" w:color="auto" w:sz="2" w:space="0"/>
            </w:tcBorders>
            <w:vAlign w:val="center"/>
          </w:tcPr>
          <w:p>
            <w:pPr>
              <w:spacing w:line="300" w:lineRule="exact"/>
              <w:jc w:val="center"/>
              <w:rPr>
                <w:rFonts w:ascii="仿宋" w:hAnsi="仿宋" w:eastAsia="仿宋" w:cs="仿宋"/>
                <w:color w:val="auto"/>
              </w:rPr>
            </w:pPr>
            <w:r>
              <w:rPr>
                <w:rFonts w:hint="eastAsia" w:ascii="仿宋" w:hAnsi="仿宋" w:eastAsia="仿宋" w:cs="仿宋"/>
                <w:color w:val="auto"/>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tcBorders>
              <w:top w:val="single" w:color="auto" w:sz="12" w:space="0"/>
              <w:left w:val="single" w:color="auto" w:sz="12" w:space="0"/>
            </w:tcBorders>
            <w:textDirection w:val="tbRlV"/>
            <w:vAlign w:val="center"/>
          </w:tcPr>
          <w:p>
            <w:pPr>
              <w:ind w:left="113" w:right="113"/>
              <w:rPr>
                <w:rFonts w:ascii="仿宋" w:hAnsi="仿宋" w:eastAsia="仿宋" w:cs="仿宋"/>
                <w:color w:val="auto"/>
              </w:rPr>
            </w:pPr>
            <w:r>
              <w:rPr>
                <w:rFonts w:hint="eastAsia" w:ascii="仿宋" w:hAnsi="仿宋" w:eastAsia="仿宋" w:cs="仿宋"/>
                <w:color w:val="auto"/>
              </w:rPr>
              <w:t xml:space="preserve"> 实 物 验 收 情 况</w:t>
            </w:r>
          </w:p>
        </w:tc>
        <w:tc>
          <w:tcPr>
            <w:tcW w:w="7893" w:type="dxa"/>
            <w:gridSpan w:val="14"/>
            <w:tcBorders>
              <w:top w:val="single" w:color="auto" w:sz="12" w:space="0"/>
              <w:right w:val="single" w:color="auto" w:sz="12" w:space="0"/>
            </w:tcBorders>
          </w:tcPr>
          <w:p>
            <w:pPr>
              <w:rPr>
                <w:rFonts w:ascii="仿宋" w:hAnsi="仿宋" w:eastAsia="仿宋" w:cs="仿宋"/>
                <w:color w:val="auto"/>
              </w:rPr>
            </w:pPr>
            <w:r>
              <w:rPr>
                <w:rFonts w:hint="eastAsia" w:ascii="仿宋" w:hAnsi="仿宋" w:eastAsia="仿宋" w:cs="仿宋"/>
                <w:color w:val="auto"/>
              </w:rPr>
              <w:t>外观质量（有无残损，程度如何）。</w:t>
            </w:r>
          </w:p>
          <w:p>
            <w:pPr>
              <w:rPr>
                <w:rFonts w:ascii="仿宋" w:hAnsi="仿宋" w:eastAsia="仿宋" w:cs="仿宋"/>
                <w:color w:val="auto"/>
              </w:rPr>
            </w:pPr>
          </w:p>
          <w:p>
            <w:pPr>
              <w:rPr>
                <w:rFonts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tcBorders>
              <w:left w:val="single" w:color="auto" w:sz="12" w:space="0"/>
            </w:tcBorders>
            <w:vAlign w:val="center"/>
          </w:tcPr>
          <w:p>
            <w:pPr>
              <w:jc w:val="center"/>
              <w:rPr>
                <w:rFonts w:ascii="仿宋" w:hAnsi="仿宋" w:eastAsia="仿宋" w:cs="仿宋"/>
                <w:color w:val="auto"/>
              </w:rPr>
            </w:pPr>
          </w:p>
        </w:tc>
        <w:tc>
          <w:tcPr>
            <w:tcW w:w="7893" w:type="dxa"/>
            <w:gridSpan w:val="14"/>
            <w:tcBorders>
              <w:right w:val="single" w:color="auto" w:sz="12" w:space="0"/>
            </w:tcBorders>
          </w:tcPr>
          <w:p>
            <w:pPr>
              <w:rPr>
                <w:rFonts w:ascii="仿宋" w:hAnsi="仿宋" w:eastAsia="仿宋" w:cs="仿宋"/>
                <w:color w:val="auto"/>
              </w:rPr>
            </w:pPr>
            <w:r>
              <w:rPr>
                <w:rFonts w:hint="eastAsia" w:ascii="仿宋" w:hAnsi="仿宋" w:eastAsia="仿宋" w:cs="仿宋"/>
                <w:color w:val="auto"/>
              </w:rPr>
              <w:t>清点数量（主机、配件、型号、规格、产地是否与招投标文件、合同、发票、装箱单的数量相同，若有出入，说明缺件名称、规格、数量、金额）。</w:t>
            </w:r>
          </w:p>
          <w:p>
            <w:pPr>
              <w:rPr>
                <w:rFonts w:ascii="仿宋" w:hAnsi="仿宋" w:eastAsia="仿宋" w:cs="仿宋"/>
                <w:color w:val="auto"/>
              </w:rPr>
            </w:pPr>
          </w:p>
          <w:p>
            <w:pPr>
              <w:rPr>
                <w:rFonts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tcBorders>
              <w:left w:val="single" w:color="auto" w:sz="12" w:space="0"/>
            </w:tcBorders>
            <w:vAlign w:val="center"/>
          </w:tcPr>
          <w:p>
            <w:pPr>
              <w:jc w:val="center"/>
              <w:rPr>
                <w:rFonts w:ascii="仿宋" w:hAnsi="仿宋" w:eastAsia="仿宋" w:cs="仿宋"/>
                <w:color w:val="auto"/>
              </w:rPr>
            </w:pPr>
          </w:p>
        </w:tc>
        <w:tc>
          <w:tcPr>
            <w:tcW w:w="7893" w:type="dxa"/>
            <w:gridSpan w:val="14"/>
            <w:tcBorders>
              <w:right w:val="single" w:color="auto" w:sz="12" w:space="0"/>
            </w:tcBorders>
          </w:tcPr>
          <w:p>
            <w:pPr>
              <w:rPr>
                <w:rFonts w:ascii="仿宋" w:hAnsi="仿宋" w:eastAsia="仿宋" w:cs="仿宋"/>
                <w:color w:val="auto"/>
              </w:rPr>
            </w:pPr>
            <w:r>
              <w:rPr>
                <w:rFonts w:hint="eastAsia" w:ascii="仿宋" w:hAnsi="仿宋" w:eastAsia="仿宋" w:cs="仿宋"/>
                <w:color w:val="auto"/>
              </w:rPr>
              <w:t>仪器设备安装调试及使用人员培训情况（是否完成整套设备安装、有无安装缺陷，使用人员是否经过培训）。</w:t>
            </w:r>
          </w:p>
          <w:p>
            <w:pPr>
              <w:rPr>
                <w:rFonts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960" w:type="dxa"/>
            <w:tcBorders>
              <w:top w:val="single" w:color="auto" w:sz="12" w:space="0"/>
              <w:left w:val="single" w:color="auto" w:sz="12" w:space="0"/>
            </w:tcBorders>
            <w:textDirection w:val="tbRlV"/>
            <w:vAlign w:val="center"/>
          </w:tcPr>
          <w:p>
            <w:pPr>
              <w:ind w:left="113" w:right="113"/>
              <w:jc w:val="center"/>
              <w:rPr>
                <w:rFonts w:ascii="仿宋" w:hAnsi="仿宋" w:eastAsia="仿宋" w:cs="仿宋"/>
                <w:color w:val="auto"/>
              </w:rPr>
            </w:pPr>
            <w:r>
              <w:rPr>
                <w:rFonts w:hint="eastAsia" w:ascii="仿宋" w:hAnsi="仿宋" w:eastAsia="仿宋" w:cs="仿宋"/>
                <w:color w:val="auto"/>
              </w:rPr>
              <w:t>技术验收情况</w:t>
            </w:r>
          </w:p>
        </w:tc>
        <w:tc>
          <w:tcPr>
            <w:tcW w:w="7893" w:type="dxa"/>
            <w:gridSpan w:val="14"/>
            <w:tcBorders>
              <w:top w:val="single" w:color="auto" w:sz="12" w:space="0"/>
              <w:right w:val="single" w:color="auto" w:sz="12" w:space="0"/>
            </w:tcBorders>
          </w:tcPr>
          <w:p>
            <w:pPr>
              <w:rPr>
                <w:rFonts w:ascii="仿宋" w:hAnsi="仿宋" w:eastAsia="仿宋" w:cs="仿宋"/>
                <w:color w:val="auto"/>
              </w:rPr>
            </w:pPr>
            <w:r>
              <w:rPr>
                <w:rFonts w:hint="eastAsia" w:ascii="仿宋" w:hAnsi="仿宋" w:eastAsia="仿宋" w:cs="仿宋"/>
                <w:color w:val="auto"/>
              </w:rPr>
              <w:t>依据合同约定技术条款逐一测定设备的性能和各项技术指标，所测结果是否与合同约定技术条款规定的一样，性能是否稳定，配件是否齐全，是否有安全隐患，具体说明。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trPr>
        <w:tc>
          <w:tcPr>
            <w:tcW w:w="960" w:type="dxa"/>
            <w:tcBorders>
              <w:top w:val="single" w:color="auto" w:sz="12" w:space="0"/>
              <w:left w:val="single" w:color="auto" w:sz="12" w:space="0"/>
              <w:bottom w:val="single" w:color="auto" w:sz="12" w:space="0"/>
            </w:tcBorders>
            <w:textDirection w:val="tbRlV"/>
            <w:vAlign w:val="center"/>
          </w:tcPr>
          <w:p>
            <w:pPr>
              <w:spacing w:after="120"/>
              <w:ind w:left="113" w:right="113"/>
              <w:jc w:val="center"/>
              <w:rPr>
                <w:rFonts w:ascii="仿宋" w:hAnsi="仿宋" w:eastAsia="仿宋" w:cs="仿宋"/>
                <w:color w:val="auto"/>
              </w:rPr>
            </w:pPr>
            <w:r>
              <w:rPr>
                <w:rFonts w:hint="eastAsia" w:ascii="仿宋" w:hAnsi="仿宋" w:eastAsia="仿宋" w:cs="仿宋"/>
                <w:color w:val="auto"/>
              </w:rPr>
              <w:t>初步验收情况</w:t>
            </w:r>
          </w:p>
        </w:tc>
        <w:tc>
          <w:tcPr>
            <w:tcW w:w="7893" w:type="dxa"/>
            <w:gridSpan w:val="14"/>
            <w:tcBorders>
              <w:top w:val="single" w:color="auto" w:sz="12" w:space="0"/>
              <w:bottom w:val="single" w:color="auto" w:sz="12" w:space="0"/>
              <w:right w:val="single" w:color="auto" w:sz="12" w:space="0"/>
            </w:tcBorders>
            <w:vAlign w:val="center"/>
          </w:tcPr>
          <w:p>
            <w:pPr>
              <w:spacing w:line="240" w:lineRule="atLeast"/>
              <w:rPr>
                <w:rFonts w:ascii="仿宋" w:hAnsi="仿宋" w:eastAsia="仿宋" w:cs="仿宋"/>
                <w:color w:val="auto"/>
              </w:rPr>
            </w:pPr>
            <w:r>
              <w:rPr>
                <w:rFonts w:hint="eastAsia" w:ascii="仿宋" w:hAnsi="仿宋" w:eastAsia="仿宋" w:cs="仿宋"/>
                <w:color w:val="auto"/>
              </w:rPr>
              <w:t>□通过验收                  □整改后再组织验收</w:t>
            </w:r>
          </w:p>
          <w:p>
            <w:pPr>
              <w:spacing w:line="240" w:lineRule="atLeast"/>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t>□不通过验收  索赔要求      □其他结论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trPr>
        <w:tc>
          <w:tcPr>
            <w:tcW w:w="1297" w:type="dxa"/>
            <w:gridSpan w:val="3"/>
            <w:tcBorders>
              <w:top w:val="single" w:color="auto" w:sz="12" w:space="0"/>
              <w:left w:val="single" w:color="auto" w:sz="12" w:space="0"/>
              <w:right w:val="single" w:color="auto" w:sz="2" w:space="0"/>
            </w:tcBorders>
            <w:vAlign w:val="center"/>
          </w:tcPr>
          <w:p>
            <w:pPr>
              <w:spacing w:line="240" w:lineRule="atLeast"/>
              <w:jc w:val="center"/>
              <w:rPr>
                <w:rFonts w:ascii="仿宋" w:hAnsi="仿宋" w:eastAsia="仿宋" w:cs="仿宋"/>
                <w:color w:val="auto"/>
              </w:rPr>
            </w:pPr>
            <w:r>
              <w:rPr>
                <w:rFonts w:hint="eastAsia" w:ascii="仿宋" w:hAnsi="仿宋" w:eastAsia="仿宋" w:cs="仿宋"/>
                <w:color w:val="auto"/>
              </w:rPr>
              <w:t>验收小组</w:t>
            </w:r>
          </w:p>
          <w:p>
            <w:pPr>
              <w:spacing w:line="240" w:lineRule="atLeast"/>
              <w:jc w:val="center"/>
              <w:rPr>
                <w:rFonts w:ascii="仿宋" w:hAnsi="仿宋" w:eastAsia="仿宋" w:cs="仿宋"/>
                <w:color w:val="auto"/>
              </w:rPr>
            </w:pPr>
            <w:r>
              <w:rPr>
                <w:rFonts w:hint="eastAsia" w:ascii="仿宋" w:hAnsi="仿宋" w:eastAsia="仿宋" w:cs="仿宋"/>
                <w:color w:val="auto"/>
              </w:rPr>
              <w:t>成员签字</w:t>
            </w:r>
          </w:p>
        </w:tc>
        <w:tc>
          <w:tcPr>
            <w:tcW w:w="2592" w:type="dxa"/>
            <w:gridSpan w:val="3"/>
            <w:tcBorders>
              <w:top w:val="single" w:color="auto" w:sz="12" w:space="0"/>
              <w:left w:val="single" w:color="auto" w:sz="2" w:space="0"/>
              <w:right w:val="single" w:color="auto" w:sz="2" w:space="0"/>
            </w:tcBorders>
            <w:vAlign w:val="center"/>
          </w:tcPr>
          <w:p>
            <w:pPr>
              <w:spacing w:line="240" w:lineRule="atLeast"/>
              <w:jc w:val="center"/>
              <w:rPr>
                <w:rFonts w:ascii="仿宋" w:hAnsi="仿宋" w:eastAsia="仿宋" w:cs="仿宋"/>
                <w:color w:val="auto"/>
              </w:rPr>
            </w:pPr>
          </w:p>
        </w:tc>
        <w:tc>
          <w:tcPr>
            <w:tcW w:w="2573" w:type="dxa"/>
            <w:gridSpan w:val="5"/>
            <w:tcBorders>
              <w:top w:val="single" w:color="auto" w:sz="12" w:space="0"/>
              <w:left w:val="single" w:color="auto" w:sz="2" w:space="0"/>
              <w:right w:val="single" w:color="auto" w:sz="2" w:space="0"/>
            </w:tcBorders>
            <w:vAlign w:val="center"/>
          </w:tcPr>
          <w:p>
            <w:pPr>
              <w:spacing w:line="240" w:lineRule="atLeast"/>
              <w:rPr>
                <w:rFonts w:ascii="仿宋" w:hAnsi="仿宋" w:eastAsia="仿宋" w:cs="仿宋"/>
                <w:color w:val="auto"/>
              </w:rPr>
            </w:pPr>
            <w:r>
              <w:rPr>
                <w:rFonts w:hint="eastAsia" w:ascii="仿宋" w:hAnsi="仿宋" w:eastAsia="仿宋" w:cs="仿宋"/>
                <w:color w:val="auto"/>
              </w:rPr>
              <w:t xml:space="preserve">    供货商</w:t>
            </w:r>
          </w:p>
          <w:p>
            <w:pPr>
              <w:spacing w:line="240" w:lineRule="atLeast"/>
              <w:jc w:val="center"/>
              <w:rPr>
                <w:rFonts w:ascii="仿宋" w:hAnsi="仿宋" w:eastAsia="仿宋" w:cs="仿宋"/>
                <w:color w:val="auto"/>
              </w:rPr>
            </w:pPr>
            <w:r>
              <w:rPr>
                <w:rFonts w:hint="eastAsia" w:ascii="仿宋" w:hAnsi="仿宋" w:eastAsia="仿宋" w:cs="仿宋"/>
                <w:color w:val="auto"/>
              </w:rPr>
              <w:t>授权代表签字</w:t>
            </w:r>
          </w:p>
        </w:tc>
        <w:tc>
          <w:tcPr>
            <w:tcW w:w="2391" w:type="dxa"/>
            <w:gridSpan w:val="4"/>
            <w:tcBorders>
              <w:top w:val="single" w:color="auto" w:sz="12" w:space="0"/>
              <w:left w:val="single" w:color="auto" w:sz="2" w:space="0"/>
              <w:bottom w:val="single" w:color="auto" w:sz="12" w:space="0"/>
              <w:right w:val="single" w:color="auto" w:sz="12" w:space="0"/>
            </w:tcBorders>
            <w:vAlign w:val="center"/>
          </w:tcPr>
          <w:p>
            <w:pPr>
              <w:spacing w:line="240" w:lineRule="atLeast"/>
              <w:jc w:val="center"/>
              <w:rPr>
                <w:rFonts w:ascii="仿宋" w:hAnsi="仿宋" w:eastAsia="仿宋" w:cs="仿宋"/>
                <w:color w:val="auto"/>
              </w:rPr>
            </w:pPr>
          </w:p>
        </w:tc>
      </w:tr>
    </w:tbl>
    <w:p>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br w:type="page"/>
      </w:r>
      <w:r>
        <w:rPr>
          <w:rFonts w:hint="eastAsia" w:ascii="仿宋" w:hAnsi="仿宋" w:eastAsia="仿宋" w:cs="仿宋"/>
          <w:color w:val="auto"/>
          <w:sz w:val="28"/>
          <w:szCs w:val="28"/>
        </w:rPr>
        <w:t xml:space="preserve">附件5：                </w:t>
      </w:r>
    </w:p>
    <w:p>
      <w:pPr>
        <w:rPr>
          <w:rFonts w:hint="eastAsia" w:ascii="仿宋" w:hAnsi="仿宋" w:eastAsia="仿宋" w:cs="仿宋"/>
          <w:b/>
          <w:bCs/>
          <w:color w:val="auto"/>
          <w:sz w:val="36"/>
          <w:szCs w:val="36"/>
        </w:rPr>
      </w:pPr>
      <w:r>
        <w:rPr>
          <w:rFonts w:hint="eastAsia" w:ascii="仿宋" w:hAnsi="仿宋" w:eastAsia="仿宋" w:cs="仿宋"/>
          <w:b/>
          <w:bCs/>
          <w:color w:val="auto"/>
          <w:sz w:val="36"/>
          <w:szCs w:val="36"/>
        </w:rPr>
        <w:drawing>
          <wp:anchor distT="0" distB="0" distL="0" distR="0" simplePos="0" relativeHeight="1024" behindDoc="0" locked="0" layoutInCell="1" allowOverlap="1">
            <wp:simplePos x="0" y="0"/>
            <wp:positionH relativeFrom="column">
              <wp:posOffset>-966470</wp:posOffset>
            </wp:positionH>
            <wp:positionV relativeFrom="paragraph">
              <wp:posOffset>1477010</wp:posOffset>
            </wp:positionV>
            <wp:extent cx="7373620" cy="5212080"/>
            <wp:effectExtent l="0" t="0" r="0" b="2540"/>
            <wp:wrapNone/>
            <wp:docPr id="1026" name="图片 2" descr="1639477994(1)"/>
            <wp:cNvGraphicFramePr/>
            <a:graphic xmlns:a="http://schemas.openxmlformats.org/drawingml/2006/main">
              <a:graphicData uri="http://schemas.openxmlformats.org/drawingml/2006/picture">
                <pic:pic xmlns:pic="http://schemas.openxmlformats.org/drawingml/2006/picture">
                  <pic:nvPicPr>
                    <pic:cNvPr id="1026" name="图片 2" descr="1639477994(1)"/>
                    <pic:cNvPicPr/>
                  </pic:nvPicPr>
                  <pic:blipFill>
                    <a:blip r:embed="rId6" cstate="print"/>
                    <a:srcRect/>
                    <a:stretch>
                      <a:fillRect/>
                    </a:stretch>
                  </pic:blipFill>
                  <pic:spPr>
                    <a:xfrm rot="16200000">
                      <a:off x="0" y="0"/>
                      <a:ext cx="7373619" cy="5212080"/>
                    </a:xfrm>
                    <a:prstGeom prst="rect">
                      <a:avLst/>
                    </a:prstGeom>
                  </pic:spPr>
                </pic:pic>
              </a:graphicData>
            </a:graphic>
          </wp:anchor>
        </w:drawing>
      </w:r>
      <w:r>
        <w:rPr>
          <w:rFonts w:hint="eastAsia" w:ascii="仿宋" w:hAnsi="仿宋" w:eastAsia="仿宋" w:cs="仿宋"/>
          <w:b/>
          <w:bCs/>
          <w:color w:val="auto"/>
          <w:sz w:val="28"/>
          <w:szCs w:val="28"/>
        </w:rPr>
        <w:t xml:space="preserve">                      </w:t>
      </w:r>
      <w:r>
        <w:rPr>
          <w:rFonts w:ascii="仿宋" w:hAnsi="仿宋" w:eastAsia="仿宋" w:cs="仿宋"/>
          <w:b/>
          <w:bCs/>
          <w:color w:val="auto"/>
          <w:sz w:val="36"/>
          <w:szCs w:val="36"/>
        </w:rPr>
        <w:t>成交</w:t>
      </w:r>
      <w:r>
        <w:rPr>
          <w:rFonts w:hint="eastAsia" w:ascii="仿宋" w:hAnsi="仿宋" w:eastAsia="仿宋" w:cs="仿宋"/>
          <w:b/>
          <w:bCs/>
          <w:color w:val="auto"/>
          <w:sz w:val="36"/>
          <w:szCs w:val="36"/>
        </w:rPr>
        <w:t>通知书</w:t>
      </w:r>
    </w:p>
    <w:p>
      <w:pPr>
        <w:pStyle w:val="2"/>
        <w:rPr>
          <w:rFonts w:hint="eastAsia"/>
          <w:color w:val="auto"/>
        </w:rPr>
      </w:pPr>
    </w:p>
    <w:p>
      <w:pPr>
        <w:rPr>
          <w:rFonts w:hint="eastAsia" w:ascii="仿宋" w:hAnsi="仿宋" w:eastAsia="仿宋" w:cs="仿宋"/>
          <w:b/>
          <w:bCs/>
          <w:color w:val="auto"/>
          <w:sz w:val="36"/>
          <w:szCs w:val="36"/>
        </w:rPr>
      </w:pPr>
      <w:r>
        <w:rPr>
          <w:rFonts w:hint="eastAsia" w:ascii="仿宋" w:hAnsi="仿宋" w:eastAsia="仿宋" w:cs="仿宋"/>
          <w:b/>
          <w:bCs/>
          <w:color w:val="auto"/>
          <w:sz w:val="36"/>
          <w:szCs w:val="36"/>
        </w:rPr>
        <w:t xml:space="preserve"> </w:t>
      </w:r>
    </w:p>
    <w:p>
      <w:pPr>
        <w:pStyle w:val="2"/>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0</wp:posOffset>
              </wp:positionV>
              <wp:extent cx="1828800" cy="1828800"/>
              <wp:effectExtent l="0" t="0" r="0" b="0"/>
              <wp:wrapNone/>
              <wp:docPr id="4097" name="409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rect id="4097" o:spid="_x0000_s1026" o:spt="1" style="position:absolute;left:0pt;margin-top:0pt;height:144pt;width:144pt;mso-position-horizontal:right;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Kc+0ySvAQAA&#10;gAMAAA4AAAAAAAAAAQAgAAAAHwEAAGRycy9lMm9Eb2MueG1sUEsFBgAAAAAGAAYAWQEAAEAFAAAA&#10;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2E0305"/>
    <w:rsid w:val="322A1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iPriority w:val="1"/>
  </w:style>
  <w:style w:type="table" w:default="1" w:styleId="6">
    <w:name w:val="Normal Table"/>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styleId="3">
    <w:name w:val="table of figures"/>
    <w:basedOn w:val="1"/>
    <w:next w:val="1"/>
    <w:qFormat/>
    <w:uiPriority w:val="99"/>
    <w:pPr>
      <w:spacing w:line="360" w:lineRule="auto"/>
      <w:ind w:left="840" w:leftChars="200" w:hanging="420" w:hangingChars="200"/>
    </w:pPr>
    <w:rPr>
      <w:rFonts w:ascii="Arial" w:hAnsi="Arial"/>
      <w:kern w:val="0"/>
      <w:sz w:val="24"/>
      <w:szCs w:val="20"/>
    </w:rPr>
  </w:style>
  <w:style w:type="paragraph" w:styleId="4">
    <w:name w:val="footer"/>
    <w:basedOn w:val="1"/>
    <w:qFormat/>
    <w:uiPriority w:val="99"/>
    <w:pPr>
      <w:tabs>
        <w:tab w:val="center" w:pos="4153"/>
        <w:tab w:val="right" w:pos="8306"/>
      </w:tabs>
      <w:snapToGrid w:val="0"/>
      <w:jc w:val="left"/>
    </w:pPr>
    <w:rPr>
      <w:kern w:val="0"/>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
    <w:name w:val="MessageHeader"/>
    <w:basedOn w:val="1"/>
    <w:qFormat/>
    <w:uiPriority w:val="0"/>
    <w:pPr>
      <w:pBdr>
        <w:top w:val="single" w:color="000000" w:sz="6" w:space="1"/>
        <w:left w:val="single" w:color="000000" w:sz="6" w:space="1"/>
        <w:bottom w:val="single" w:color="000000" w:sz="6" w:space="1"/>
        <w:right w:val="single" w:color="000000" w:sz="6" w:space="1"/>
      </w:pBdr>
      <w:ind w:left="1080" w:leftChars="500" w:hanging="1080" w:hangingChars="500"/>
    </w:pPr>
    <w:rPr>
      <w:rFonts w:ascii="Cambria" w:hAnsi="Cambria"/>
      <w:sz w:val="24"/>
    </w:rPr>
  </w:style>
  <w:style w:type="character" w:customStyle="1" w:styleId="10">
    <w:name w:val="页眉 Char"/>
    <w:basedOn w:val="7"/>
    <w:link w:val="5"/>
    <w:qFormat/>
    <w:uiPriority w:val="99"/>
    <w:rPr>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customXml" Target="../customXml/item1.xml"/>
  <Relationship Id="rId8"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17</Pages>
  <Words>9097</Words>
  <Characters>10093</Characters>
  <Paragraphs>579</Paragraphs>
  <TotalTime>4</TotalTime>
  <ScaleCrop>false</ScaleCrop>
  <LinksUpToDate>false</LinksUpToDate>
  <CharactersWithSpaces>10746</CharactersWithSpaces>
  <Application>WPS Office_11.1.0.10314_F1E327BC-269C-435d-A152-05C5408002CA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2021-12-10T08:53:00Z</dcterms:created>
  <dc:creator>hp</dc:creator>
  <lastModifiedBy>Lenovo</lastModifiedBy>
  <dcterms:modified xsi:type="dcterms:W3CDTF">2021-12-15T08:00:22Z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0C054F3B168948A2A49DF54C81B388D1</vt:lpwstr>
  </property>
</Properties>
</file>