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ind w:firstLine="0"/>
        <w:rPr>
          <w:rFonts w:hint="eastAsia" w:ascii="宋体" w:hAnsi="宋体" w:cs="宋体"/>
          <w:b/>
          <w:bCs/>
          <w:kern w:val="36"/>
          <w:sz w:val="28"/>
          <w:szCs w:val="28"/>
        </w:rPr>
      </w:pPr>
    </w:p>
    <w:p>
      <w:pPr>
        <w:autoSpaceDE w:val="0"/>
        <w:autoSpaceDN w:val="0"/>
        <w:adjustRightInd w:val="0"/>
        <w:ind w:firstLine="480"/>
        <w:jc w:val="center"/>
        <w:rPr>
          <w:rFonts w:ascii="宋体"/>
          <w:b/>
          <w:color w:val="000000"/>
          <w:kern w:val="0"/>
          <w:sz w:val="28"/>
          <w:szCs w:val="28"/>
        </w:rPr>
      </w:pPr>
      <w:r>
        <w:rPr>
          <w:rFonts w:hint="eastAsia" w:ascii="宋体" w:hAnsi="宋体"/>
          <w:sz w:val="28"/>
          <w:szCs w:val="28"/>
        </w:rPr>
        <w:t xml:space="preserve">             </w:t>
      </w:r>
      <w:r>
        <w:rPr>
          <w:rFonts w:hint="eastAsia" w:ascii="宋体" w:hAnsi="宋体"/>
          <w:b/>
          <w:sz w:val="28"/>
          <w:szCs w:val="28"/>
        </w:rPr>
        <w:t>合同编号</w:t>
      </w:r>
      <w:r>
        <w:rPr>
          <w:rFonts w:ascii="宋体" w:hAnsi="宋体"/>
          <w:b/>
          <w:sz w:val="28"/>
          <w:szCs w:val="28"/>
          <w:u w:val="single"/>
        </w:rPr>
        <w:t>：</w:t>
      </w:r>
      <w:r>
        <w:rPr>
          <w:rFonts w:hint="eastAsia" w:ascii="宋体" w:hAnsi="宋体" w:cs="宋体"/>
          <w:b/>
          <w:sz w:val="30"/>
          <w:szCs w:val="28"/>
          <w:u w:val="single"/>
        </w:rPr>
        <w:t>郑大-竞磋-2021-0137</w:t>
      </w:r>
      <w:r>
        <w:rPr>
          <w:rFonts w:hint="eastAsia" w:ascii="宋体" w:hAnsi="宋体"/>
          <w:b/>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678" w:firstLineChars="597"/>
        <w:rPr>
          <w:rFonts w:ascii="宋体" w:hAnsi="宋体" w:cs="宋体"/>
          <w:b/>
          <w:sz w:val="30"/>
          <w:szCs w:val="28"/>
          <w:u w:val="single"/>
        </w:rPr>
      </w:pPr>
      <w:r>
        <w:rPr>
          <w:rFonts w:hint="eastAsia" w:ascii="宋体"/>
          <w:b/>
          <w:color w:val="000000"/>
          <w:kern w:val="0"/>
          <w:sz w:val="28"/>
          <w:szCs w:val="20"/>
        </w:rPr>
        <w:t>工程名称：</w:t>
      </w:r>
      <w:r>
        <w:rPr>
          <w:rFonts w:hint="eastAsia" w:ascii="宋体" w:hAnsi="宋体" w:cs="宋体"/>
          <w:b/>
          <w:sz w:val="30"/>
          <w:szCs w:val="28"/>
          <w:u w:val="single"/>
        </w:rPr>
        <w:t>郑州大学后勤管理处北校区</w:t>
      </w:r>
    </w:p>
    <w:p>
      <w:pPr>
        <w:ind w:firstLine="3150" w:firstLineChars="1046"/>
        <w:rPr>
          <w:rFonts w:ascii="宋体" w:hAnsi="宋体" w:cs="宋体"/>
          <w:b/>
          <w:sz w:val="30"/>
          <w:szCs w:val="28"/>
          <w:u w:val="single"/>
        </w:rPr>
      </w:pPr>
      <w:r>
        <w:rPr>
          <w:rFonts w:hint="eastAsia" w:ascii="宋体" w:hAnsi="宋体" w:cs="宋体"/>
          <w:b/>
          <w:sz w:val="30"/>
          <w:szCs w:val="28"/>
          <w:u w:val="single"/>
        </w:rPr>
        <w:t>图书馆防水维修工程</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郑州大学北校区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792000.00元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hAnsi="宋体" w:cs="宋体"/>
          <w:b/>
          <w:sz w:val="30"/>
          <w:szCs w:val="28"/>
          <w:u w:val="single"/>
        </w:rPr>
        <w:t>河南华中建设工程有限公司</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w:t>
      </w:r>
      <w:r>
        <w:rPr>
          <w:rFonts w:hint="eastAsia" w:ascii="宋体" w:hAnsi="宋体"/>
          <w:b/>
          <w:sz w:val="28"/>
          <w:szCs w:val="20"/>
          <w:lang w:val="en-US" w:eastAsia="zh-CN"/>
        </w:rPr>
        <w:t>2022</w:t>
      </w:r>
      <w:r>
        <w:rPr>
          <w:rFonts w:hint="eastAsia" w:ascii="宋体" w:hAnsi="宋体"/>
          <w:b/>
          <w:sz w:val="28"/>
          <w:szCs w:val="20"/>
          <w:lang w:val="zh-CN"/>
        </w:rPr>
        <w:t xml:space="preserve"> 年</w:t>
      </w:r>
      <w:r>
        <w:rPr>
          <w:rFonts w:hint="eastAsia" w:ascii="宋体" w:hAnsi="宋体"/>
          <w:b/>
          <w:sz w:val="28"/>
          <w:szCs w:val="20"/>
        </w:rPr>
        <w:t xml:space="preserve">  </w:t>
      </w:r>
      <w:r>
        <w:rPr>
          <w:rFonts w:hint="eastAsia" w:ascii="宋体" w:hAnsi="宋体"/>
          <w:b/>
          <w:sz w:val="28"/>
          <w:szCs w:val="20"/>
          <w:lang w:val="en-US" w:eastAsia="zh-CN"/>
        </w:rPr>
        <w:t>2</w:t>
      </w:r>
      <w:r>
        <w:rPr>
          <w:rFonts w:hint="eastAsia" w:ascii="宋体" w:hAnsi="宋体"/>
          <w:b/>
          <w:sz w:val="28"/>
          <w:szCs w:val="20"/>
        </w:rPr>
        <w:t xml:space="preserve"> </w:t>
      </w:r>
      <w:r>
        <w:rPr>
          <w:rFonts w:hint="eastAsia" w:ascii="宋体" w:hAnsi="宋体"/>
          <w:b/>
          <w:sz w:val="28"/>
          <w:szCs w:val="20"/>
          <w:lang w:val="zh-CN"/>
        </w:rPr>
        <w:t>月</w:t>
      </w:r>
      <w:r>
        <w:rPr>
          <w:rFonts w:hint="eastAsia" w:ascii="宋体" w:hAnsi="宋体"/>
          <w:b/>
          <w:sz w:val="28"/>
          <w:szCs w:val="20"/>
        </w:rPr>
        <w:t xml:space="preserve">  </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6"/>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auto"/>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郑州大学</w:t>
      </w:r>
      <w:r>
        <w:rPr>
          <w:rFonts w:hint="eastAsia" w:ascii="宋体" w:hAnsi="宋体"/>
          <w:b/>
          <w:color w:val="000000"/>
          <w:szCs w:val="21"/>
          <w:u w:val="single"/>
        </w:rPr>
        <w:t xml:space="preserve">  </w:t>
      </w:r>
      <w:r>
        <w:rPr>
          <w:rFonts w:hint="eastAsia" w:ascii="宋体" w:hAnsi="宋体"/>
          <w:color w:val="000000"/>
          <w:szCs w:val="21"/>
          <w:u w:val="single"/>
        </w:rPr>
        <w:t xml:space="preserve">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auto"/>
        <w:ind w:firstLine="422" w:firstLineChars="200"/>
        <w:rPr>
          <w:rFonts w:ascii="宋体" w:hAnsi="宋体"/>
          <w:color w:val="000000"/>
          <w:szCs w:val="21"/>
          <w:u w:val="single"/>
        </w:rPr>
      </w:pPr>
      <w:r>
        <w:rPr>
          <w:rFonts w:ascii="宋体" w:hAnsi="宋体"/>
          <w:b/>
          <w:color w:val="000000"/>
          <w:szCs w:val="21"/>
        </w:rPr>
        <w:t>承包人（全称）：</w:t>
      </w:r>
      <w:r>
        <w:rPr>
          <w:rFonts w:hint="eastAsia" w:ascii="宋体" w:hAnsi="宋体"/>
          <w:color w:val="000000" w:themeColor="text1"/>
          <w:szCs w:val="21"/>
          <w:u w:val="single"/>
        </w:rPr>
        <w:t xml:space="preserve">河南华中建设工程有限公司 </w:t>
      </w:r>
    </w:p>
    <w:p>
      <w:pPr>
        <w:spacing w:line="360" w:lineRule="auto"/>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themeColor="text1"/>
          <w:szCs w:val="21"/>
          <w:u w:val="single"/>
        </w:rPr>
        <w:t xml:space="preserve">郑州大学后勤管理处北校区图书馆防水维修工程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7"/>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auto"/>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color w:val="000000" w:themeColor="text1"/>
          <w:szCs w:val="21"/>
          <w:u w:val="single"/>
        </w:rPr>
        <w:t>郑州大学后勤管理处北校区图书馆防水维修工程</w:t>
      </w:r>
      <w:r>
        <w:rPr>
          <w:rFonts w:hint="eastAsia" w:ascii="宋体" w:hAnsi="宋体"/>
          <w:b/>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郑州大学北校区</w:t>
      </w:r>
      <w:r>
        <w:rPr>
          <w:rFonts w:ascii="宋体" w:hAnsi="宋体"/>
          <w:color w:val="000000"/>
          <w:szCs w:val="21"/>
          <w:u w:val="single"/>
        </w:rPr>
        <w:t xml:space="preserve"> </w:t>
      </w:r>
      <w:r>
        <w:rPr>
          <w:rFonts w:ascii="宋体" w:hAnsi="宋体"/>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Pr>
          <w:rFonts w:hint="eastAsia" w:ascii="宋体" w:hAnsi="宋体"/>
          <w:color w:val="000000"/>
          <w:szCs w:val="21"/>
          <w:u w:val="single"/>
        </w:rPr>
        <w:t xml:space="preserve">郑大-竞磋-2021-0137 </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后勤经费     </w:t>
      </w:r>
      <w:r>
        <w:rPr>
          <w:rFonts w:ascii="宋体" w:hAnsi="宋体"/>
          <w:color w:val="000000"/>
          <w:szCs w:val="21"/>
          <w:u w:val="single"/>
        </w:rPr>
        <w:t></w:t>
      </w:r>
      <w:r>
        <w:rPr>
          <w:rFonts w:ascii="宋体" w:hAnsi="宋体"/>
          <w:bCs/>
          <w:color w:val="000000"/>
          <w:szCs w:val="21"/>
        </w:rPr>
        <w:t>。</w:t>
      </w:r>
    </w:p>
    <w:p>
      <w:pPr>
        <w:spacing w:line="360" w:lineRule="auto"/>
        <w:ind w:firstLine="411" w:firstLineChars="196"/>
        <w:rPr>
          <w:rFonts w:ascii="宋体" w:hAnsi="宋体"/>
          <w:color w:val="000000"/>
          <w:szCs w:val="21"/>
          <w:u w:val="single"/>
        </w:rPr>
      </w:pPr>
      <w:r>
        <w:rPr>
          <w:rFonts w:hint="eastAsia" w:ascii="宋体" w:hAnsi="宋体"/>
          <w:bCs/>
          <w:color w:val="000000"/>
          <w:szCs w:val="21"/>
        </w:rPr>
        <w:t>5.工程内容：</w:t>
      </w:r>
      <w:r>
        <w:rPr>
          <w:rFonts w:ascii="宋体" w:hAnsi="宋体"/>
          <w:color w:val="000000"/>
          <w:szCs w:val="21"/>
          <w:u w:val="single"/>
        </w:rPr>
        <w:t></w:t>
      </w:r>
      <w:r>
        <w:rPr>
          <w:rFonts w:hint="eastAsia" w:ascii="宋体" w:hAnsi="宋体"/>
          <w:color w:val="000000"/>
          <w:szCs w:val="21"/>
          <w:u w:val="single"/>
        </w:rPr>
        <w:t>对郑州大学北校区图书馆屋面防水进行维修</w:t>
      </w:r>
      <w:r>
        <w:rPr>
          <w:rFonts w:ascii="宋体" w:hAnsi="宋体"/>
          <w:color w:val="000000"/>
          <w:szCs w:val="21"/>
          <w:u w:val="single"/>
        </w:rPr>
        <w:t>。</w:t>
      </w:r>
    </w:p>
    <w:p>
      <w:pPr>
        <w:spacing w:line="360" w:lineRule="auto"/>
        <w:ind w:firstLine="1671" w:firstLineChars="796"/>
        <w:rPr>
          <w:rFonts w:ascii="宋体" w:hAnsi="宋体"/>
          <w:bCs/>
          <w:color w:val="000000"/>
          <w:szCs w:val="21"/>
        </w:rPr>
      </w:pP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7"/>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auto"/>
        <w:ind w:firstLine="459"/>
        <w:rPr>
          <w:rFonts w:ascii="宋体" w:hAnsi="宋体"/>
          <w:color w:val="000000" w:themeColor="text1"/>
          <w:szCs w:val="21"/>
        </w:rPr>
      </w:pPr>
      <w:r>
        <w:rPr>
          <w:rFonts w:ascii="宋体" w:hAnsi="宋体"/>
          <w:color w:val="000000"/>
          <w:szCs w:val="21"/>
        </w:rPr>
        <w:t>计划开工日期：</w:t>
      </w:r>
      <w:r>
        <w:rPr>
          <w:rFonts w:ascii="宋体" w:hAnsi="宋体"/>
          <w:color w:val="000000" w:themeColor="text1"/>
          <w:szCs w:val="21"/>
          <w:u w:val="single"/>
        </w:rPr>
        <w:t></w:t>
      </w:r>
      <w:r>
        <w:rPr>
          <w:rFonts w:hint="eastAsia" w:ascii="宋体" w:hAnsi="宋体"/>
          <w:color w:val="000000" w:themeColor="text1"/>
          <w:szCs w:val="21"/>
          <w:u w:val="single"/>
        </w:rPr>
        <w:t>2022</w:t>
      </w:r>
      <w:r>
        <w:rPr>
          <w:rFonts w:ascii="宋体" w:hAnsi="宋体"/>
          <w:color w:val="000000" w:themeColor="text1"/>
          <w:szCs w:val="21"/>
          <w:u w:val="single"/>
        </w:rPr>
        <w:t></w:t>
      </w:r>
      <w:r>
        <w:rPr>
          <w:rFonts w:ascii="宋体" w:hAnsi="宋体"/>
          <w:color w:val="000000" w:themeColor="text1"/>
          <w:szCs w:val="21"/>
        </w:rPr>
        <w:t>年</w:t>
      </w:r>
      <w:r>
        <w:rPr>
          <w:rFonts w:ascii="宋体" w:hAnsi="宋体"/>
          <w:color w:val="000000" w:themeColor="text1"/>
          <w:szCs w:val="21"/>
          <w:u w:val="single"/>
        </w:rPr>
        <w:t></w:t>
      </w:r>
      <w:r>
        <w:rPr>
          <w:rFonts w:hint="eastAsia" w:ascii="宋体" w:hAnsi="宋体"/>
          <w:color w:val="000000" w:themeColor="text1"/>
          <w:szCs w:val="21"/>
          <w:u w:val="single"/>
        </w:rPr>
        <w:t xml:space="preserve">3  </w:t>
      </w:r>
      <w:r>
        <w:rPr>
          <w:rFonts w:ascii="宋体" w:hAnsi="宋体"/>
          <w:color w:val="000000" w:themeColor="text1"/>
          <w:szCs w:val="21"/>
        </w:rPr>
        <w:t>月</w:t>
      </w:r>
      <w:r>
        <w:rPr>
          <w:rFonts w:ascii="宋体" w:hAnsi="宋体"/>
          <w:color w:val="000000" w:themeColor="text1"/>
          <w:szCs w:val="21"/>
          <w:u w:val="single"/>
        </w:rPr>
        <w:t></w:t>
      </w:r>
      <w:r>
        <w:rPr>
          <w:rFonts w:hint="eastAsia" w:ascii="宋体" w:hAnsi="宋体"/>
          <w:color w:val="000000" w:themeColor="text1"/>
          <w:szCs w:val="21"/>
          <w:u w:val="single"/>
        </w:rPr>
        <w:t>4</w:t>
      </w:r>
      <w:r>
        <w:rPr>
          <w:rFonts w:ascii="宋体" w:hAnsi="宋体"/>
          <w:color w:val="000000" w:themeColor="text1"/>
          <w:szCs w:val="21"/>
          <w:u w:val="single"/>
        </w:rPr>
        <w:t></w:t>
      </w:r>
      <w:r>
        <w:rPr>
          <w:rFonts w:ascii="宋体" w:hAnsi="宋体"/>
          <w:color w:val="000000" w:themeColor="text1"/>
          <w:szCs w:val="21"/>
        </w:rPr>
        <w:t>日。</w:t>
      </w:r>
    </w:p>
    <w:p>
      <w:pPr>
        <w:spacing w:line="360" w:lineRule="auto"/>
        <w:ind w:firstLine="459"/>
        <w:rPr>
          <w:rFonts w:ascii="宋体" w:hAnsi="宋体"/>
          <w:color w:val="000000" w:themeColor="text1"/>
          <w:szCs w:val="21"/>
        </w:rPr>
      </w:pPr>
      <w:r>
        <w:rPr>
          <w:rFonts w:ascii="宋体" w:hAnsi="宋体"/>
          <w:color w:val="000000" w:themeColor="text1"/>
          <w:szCs w:val="21"/>
        </w:rPr>
        <w:t>计划竣工日期：</w:t>
      </w:r>
      <w:r>
        <w:rPr>
          <w:rFonts w:ascii="宋体" w:hAnsi="宋体"/>
          <w:color w:val="000000" w:themeColor="text1"/>
          <w:szCs w:val="21"/>
          <w:u w:val="single"/>
        </w:rPr>
        <w:t></w:t>
      </w:r>
      <w:r>
        <w:rPr>
          <w:rFonts w:hint="eastAsia" w:ascii="宋体" w:hAnsi="宋体"/>
          <w:color w:val="000000" w:themeColor="text1"/>
          <w:szCs w:val="21"/>
          <w:u w:val="single"/>
        </w:rPr>
        <w:t>2022</w:t>
      </w:r>
      <w:r>
        <w:rPr>
          <w:rFonts w:ascii="宋体" w:hAnsi="宋体"/>
          <w:color w:val="000000" w:themeColor="text1"/>
          <w:szCs w:val="21"/>
          <w:u w:val="single"/>
        </w:rPr>
        <w:t></w:t>
      </w:r>
      <w:r>
        <w:rPr>
          <w:rFonts w:ascii="宋体" w:hAnsi="宋体"/>
          <w:color w:val="000000" w:themeColor="text1"/>
          <w:szCs w:val="21"/>
        </w:rPr>
        <w:t>年</w:t>
      </w:r>
      <w:r>
        <w:rPr>
          <w:rFonts w:ascii="宋体" w:hAnsi="宋体"/>
          <w:color w:val="000000" w:themeColor="text1"/>
          <w:szCs w:val="21"/>
          <w:u w:val="single"/>
        </w:rPr>
        <w:t></w:t>
      </w:r>
      <w:r>
        <w:rPr>
          <w:rFonts w:hint="eastAsia" w:ascii="宋体" w:hAnsi="宋体"/>
          <w:color w:val="000000" w:themeColor="text1"/>
          <w:szCs w:val="21"/>
          <w:u w:val="single"/>
        </w:rPr>
        <w:t xml:space="preserve">5  </w:t>
      </w:r>
      <w:r>
        <w:rPr>
          <w:rFonts w:ascii="宋体" w:hAnsi="宋体"/>
          <w:color w:val="000000" w:themeColor="text1"/>
          <w:szCs w:val="21"/>
        </w:rPr>
        <w:t>月</w:t>
      </w:r>
      <w:r>
        <w:rPr>
          <w:rFonts w:ascii="宋体" w:hAnsi="宋体"/>
          <w:color w:val="000000" w:themeColor="text1"/>
          <w:szCs w:val="21"/>
          <w:u w:val="single"/>
        </w:rPr>
        <w:t></w:t>
      </w:r>
      <w:r>
        <w:rPr>
          <w:rFonts w:hint="eastAsia" w:ascii="宋体" w:hAnsi="宋体"/>
          <w:color w:val="000000" w:themeColor="text1"/>
          <w:szCs w:val="21"/>
          <w:u w:val="single"/>
        </w:rPr>
        <w:t xml:space="preserve">3  </w:t>
      </w:r>
      <w:r>
        <w:rPr>
          <w:rFonts w:ascii="宋体" w:hAnsi="宋体"/>
          <w:color w:val="000000" w:themeColor="text1"/>
          <w:szCs w:val="21"/>
        </w:rPr>
        <w:t>日。</w:t>
      </w:r>
    </w:p>
    <w:p>
      <w:pPr>
        <w:spacing w:line="360" w:lineRule="auto"/>
        <w:ind w:firstLine="459"/>
        <w:rPr>
          <w:rFonts w:ascii="宋体" w:hAnsi="宋体"/>
          <w:color w:val="000000"/>
          <w:szCs w:val="21"/>
        </w:rPr>
      </w:pPr>
      <w:r>
        <w:rPr>
          <w:rFonts w:ascii="宋体" w:hAnsi="宋体"/>
          <w:color w:val="000000" w:themeColor="text1"/>
          <w:szCs w:val="21"/>
        </w:rPr>
        <w:t>工期总日历天数：</w:t>
      </w:r>
      <w:r>
        <w:rPr>
          <w:rFonts w:ascii="宋体" w:hAnsi="宋体"/>
          <w:color w:val="000000" w:themeColor="text1"/>
          <w:szCs w:val="21"/>
          <w:u w:val="single"/>
        </w:rPr>
        <w:t></w:t>
      </w:r>
      <w:r>
        <w:rPr>
          <w:rFonts w:hint="eastAsia" w:ascii="宋体" w:hAnsi="宋体"/>
          <w:color w:val="000000" w:themeColor="text1"/>
          <w:szCs w:val="21"/>
          <w:u w:val="single"/>
        </w:rPr>
        <w:t>60</w:t>
      </w:r>
      <w:r>
        <w:rPr>
          <w:rFonts w:ascii="宋体" w:hAnsi="宋体"/>
          <w:color w:val="000000" w:themeColor="text1"/>
          <w:szCs w:val="21"/>
          <w:u w:val="single"/>
        </w:rPr>
        <w:t></w:t>
      </w:r>
      <w:r>
        <w:rPr>
          <w:rFonts w:ascii="宋体" w:hAnsi="宋体"/>
          <w:color w:val="000000" w:themeColor="text1"/>
          <w:szCs w:val="21"/>
        </w:rPr>
        <w:t>天。</w:t>
      </w:r>
      <w:r>
        <w:rPr>
          <w:rFonts w:ascii="宋体" w:hAnsi="宋体"/>
          <w:color w:val="000000"/>
          <w:szCs w:val="21"/>
        </w:rPr>
        <w:t>工期总日历天数与根据前述计划开竣工日期计算的工期天数不一致的，以工期总日历天数为准。</w:t>
      </w:r>
    </w:p>
    <w:p>
      <w:pPr>
        <w:pStyle w:val="7"/>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auto"/>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7"/>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auto"/>
        <w:ind w:firstLine="420" w:firstLineChars="200"/>
        <w:rPr>
          <w:rFonts w:ascii="宋体" w:hAnsi="宋体"/>
          <w:color w:val="000000"/>
          <w:szCs w:val="21"/>
        </w:rPr>
      </w:pPr>
      <w:r>
        <w:rPr>
          <w:rFonts w:ascii="宋体" w:hAnsi="宋体"/>
          <w:color w:val="000000"/>
          <w:szCs w:val="21"/>
        </w:rPr>
        <w:t>1.签约合同价为：人民币（大写）</w:t>
      </w:r>
      <w:r>
        <w:rPr>
          <w:rFonts w:hint="eastAsia" w:ascii="宋体" w:hAnsi="宋体"/>
          <w:color w:val="000000"/>
          <w:szCs w:val="21"/>
          <w:u w:val="single"/>
        </w:rPr>
        <w:t>柒拾玖万贰仟元整</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792000.00</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其中：</w:t>
      </w:r>
    </w:p>
    <w:p>
      <w:pPr>
        <w:spacing w:line="360" w:lineRule="auto"/>
        <w:ind w:firstLine="420" w:firstLineChars="200"/>
        <w:rPr>
          <w:rFonts w:ascii="宋体" w:hAnsi="宋体"/>
          <w:color w:val="000000"/>
          <w:szCs w:val="21"/>
        </w:rPr>
      </w:pPr>
      <w:r>
        <w:rPr>
          <w:rFonts w:ascii="宋体" w:hAnsi="宋体"/>
          <w:color w:val="000000"/>
          <w:szCs w:val="21"/>
        </w:rPr>
        <w:t>（1）安全文明施工费：人民币（大写）</w:t>
      </w:r>
      <w:r>
        <w:rPr>
          <w:rFonts w:hint="eastAsia" w:ascii="宋体" w:hAnsi="宋体"/>
          <w:color w:val="000000"/>
          <w:szCs w:val="21"/>
          <w:u w:val="single"/>
        </w:rPr>
        <w:t xml:space="preserve"> </w:t>
      </w:r>
      <w:r>
        <w:rPr>
          <w:rFonts w:hint="eastAsia" w:ascii="宋体" w:hAnsi="宋体"/>
          <w:color w:val="000000" w:themeColor="text1"/>
          <w:szCs w:val="21"/>
          <w:u w:val="single"/>
        </w:rPr>
        <w:t>壹万玖仟零捌拾玖元陆角</w:t>
      </w:r>
      <w:r>
        <w:rPr>
          <w:rFonts w:ascii="宋体" w:hAnsi="宋体"/>
          <w:color w:val="FF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19089.60</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（4）暂列金额：人民币（大写）</w:t>
      </w:r>
      <w:r>
        <w:rPr>
          <w:rFonts w:ascii="宋体" w:hAnsi="宋体"/>
          <w:color w:val="000000"/>
          <w:szCs w:val="21"/>
          <w:u w:val="single"/>
        </w:rPr>
        <w:t xml:space="preserve"> </w:t>
      </w:r>
      <w:r>
        <w:rPr>
          <w:rFonts w:hint="eastAsia" w:ascii="宋体" w:hAnsi="宋体"/>
          <w:color w:val="000000"/>
          <w:szCs w:val="21"/>
          <w:u w:val="single"/>
          <w:lang w:eastAsia="zh-CN"/>
        </w:rPr>
        <w:t>叁</w:t>
      </w:r>
      <w:r>
        <w:rPr>
          <w:rFonts w:hint="eastAsia" w:ascii="宋体" w:hAnsi="宋体"/>
          <w:color w:val="000000"/>
          <w:szCs w:val="21"/>
          <w:u w:val="single"/>
        </w:rPr>
        <w:t>万元整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30000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7"/>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auto"/>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w:t>
      </w:r>
      <w:r>
        <w:rPr>
          <w:rFonts w:hint="eastAsia" w:ascii="宋体" w:hAnsi="宋体"/>
          <w:color w:val="000000"/>
          <w:szCs w:val="21"/>
          <w:u w:val="single"/>
        </w:rPr>
        <w:t>孙强</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pStyle w:val="7"/>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auto"/>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（3）投标函及其附录（如果有）；</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（5）通用合同条款；</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（6）技术标准和要求；</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（7）已标价工程量清单或预算书；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（8）其他合同文件。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hint="eastAsia" w:ascii="宋体" w:hAnsi="宋体"/>
          <w:color w:val="000000"/>
          <w:szCs w:val="21"/>
        </w:rPr>
        <w:t>的</w:t>
      </w:r>
      <w:r>
        <w:rPr>
          <w:rFonts w:ascii="宋体" w:hAnsi="宋体"/>
          <w:color w:val="000000"/>
          <w:szCs w:val="21"/>
        </w:rPr>
        <w:t>组成部分。</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pStyle w:val="7"/>
        <w:rPr>
          <w:rFonts w:ascii="宋体" w:hAnsi="宋体"/>
          <w:b w:val="0"/>
          <w:bCs w:val="0"/>
          <w:color w:val="000000"/>
          <w:szCs w:val="21"/>
        </w:rPr>
      </w:pPr>
      <w:bookmarkStart w:id="7" w:name="_Toc351203487"/>
      <w:r>
        <w:rPr>
          <w:rFonts w:ascii="宋体" w:hAnsi="宋体"/>
          <w:b w:val="0"/>
          <w:color w:val="000000"/>
          <w:szCs w:val="21"/>
        </w:rPr>
        <w:t>七、承诺</w:t>
      </w:r>
      <w:bookmarkEnd w:id="7"/>
    </w:p>
    <w:p>
      <w:pPr>
        <w:spacing w:line="360" w:lineRule="auto"/>
        <w:ind w:firstLine="420" w:firstLineChars="20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pPr>
        <w:spacing w:line="360" w:lineRule="auto"/>
        <w:ind w:firstLine="420" w:firstLineChars="20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宋体" w:hAnsi="宋体"/>
          <w:bCs/>
          <w:color w:val="000000"/>
          <w:szCs w:val="21"/>
        </w:rPr>
      </w:pPr>
      <w:r>
        <w:rPr>
          <w:rFonts w:ascii="宋体" w:hAnsi="宋体"/>
          <w:bCs/>
          <w:color w:val="000000"/>
          <w:szCs w:val="21"/>
        </w:rPr>
        <w:t>3.发包人和承包人通过招投标形式签订合同的，双方理解并</w:t>
      </w:r>
      <w:r>
        <w:rPr>
          <w:rFonts w:hint="eastAsia" w:ascii="宋体" w:hAnsi="宋体"/>
          <w:bCs/>
          <w:color w:val="000000"/>
          <w:szCs w:val="21"/>
        </w:rPr>
        <w:t>承诺</w:t>
      </w:r>
      <w:r>
        <w:rPr>
          <w:rFonts w:ascii="宋体" w:hAnsi="宋体"/>
          <w:bCs/>
          <w:color w:val="000000"/>
          <w:szCs w:val="21"/>
        </w:rPr>
        <w:t>不再就同一工程另行签订与合同实质性内容相背离的协议。</w:t>
      </w:r>
    </w:p>
    <w:p>
      <w:pPr>
        <w:spacing w:line="360" w:lineRule="auto"/>
        <w:rPr>
          <w:rFonts w:ascii="宋体" w:hAnsi="宋体"/>
          <w:bCs/>
          <w:color w:val="000000"/>
          <w:szCs w:val="21"/>
        </w:rPr>
      </w:pPr>
      <w:bookmarkStart w:id="8" w:name="_Toc351203488"/>
      <w:r>
        <w:rPr>
          <w:rFonts w:ascii="宋体" w:hAnsi="宋体"/>
          <w:b/>
          <w:color w:val="000000"/>
          <w:szCs w:val="21"/>
        </w:rPr>
        <w:t>八、词语含义</w:t>
      </w:r>
      <w:bookmarkEnd w:id="8"/>
    </w:p>
    <w:p>
      <w:pPr>
        <w:spacing w:line="360" w:lineRule="auto"/>
        <w:ind w:firstLine="420" w:firstLineChars="200"/>
        <w:rPr>
          <w:rFonts w:ascii="宋体" w:hAnsi="宋体"/>
          <w:bCs/>
          <w:color w:val="000000"/>
          <w:szCs w:val="21"/>
        </w:rPr>
      </w:pPr>
      <w:r>
        <w:rPr>
          <w:rFonts w:ascii="宋体" w:hAnsi="宋体"/>
          <w:bCs/>
          <w:color w:val="000000"/>
          <w:szCs w:val="21"/>
        </w:rPr>
        <w:t>本协议书中词语含义与第二部分通用合同条款中赋予的含义相同。</w:t>
      </w:r>
    </w:p>
    <w:p>
      <w:pPr>
        <w:spacing w:line="360" w:lineRule="auto"/>
        <w:rPr>
          <w:rFonts w:ascii="宋体" w:hAnsi="宋体"/>
          <w:b/>
          <w:color w:val="000000"/>
          <w:szCs w:val="21"/>
        </w:rPr>
      </w:pPr>
      <w:bookmarkStart w:id="9" w:name="_Toc351203489"/>
      <w:r>
        <w:rPr>
          <w:rFonts w:hint="eastAsia" w:ascii="宋体" w:hAnsi="宋体"/>
          <w:b/>
          <w:color w:val="000000"/>
          <w:szCs w:val="21"/>
        </w:rPr>
        <w:t>九</w:t>
      </w:r>
      <w:r>
        <w:rPr>
          <w:rFonts w:ascii="宋体" w:hAnsi="宋体"/>
          <w:b/>
          <w:color w:val="000000"/>
          <w:szCs w:val="21"/>
        </w:rPr>
        <w:t>、签订时间</w:t>
      </w:r>
      <w:bookmarkEnd w:id="9"/>
    </w:p>
    <w:p>
      <w:pPr>
        <w:spacing w:line="360" w:lineRule="auto"/>
        <w:ind w:firstLine="420" w:firstLineChars="20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Pr>
          <w:rFonts w:hint="eastAsia" w:ascii="宋体" w:hAnsi="宋体"/>
          <w:bCs/>
          <w:color w:val="000000"/>
          <w:szCs w:val="21"/>
          <w:u w:val="single"/>
          <w:lang w:val="en-US" w:eastAsia="zh-CN"/>
        </w:rPr>
        <w:t>2022</w:t>
      </w:r>
      <w:r>
        <w:rPr>
          <w:rFonts w:ascii="宋体" w:hAnsi="宋体"/>
          <w:bCs/>
          <w:color w:val="000000"/>
          <w:szCs w:val="21"/>
          <w:u w:val="single"/>
        </w:rPr>
        <w:t xml:space="preserve">  </w:t>
      </w:r>
      <w:r>
        <w:rPr>
          <w:rFonts w:ascii="宋体" w:hAnsi="宋体"/>
          <w:bCs/>
          <w:color w:val="000000"/>
          <w:szCs w:val="21"/>
        </w:rPr>
        <w:t>年</w:t>
      </w:r>
      <w:r>
        <w:rPr>
          <w:rFonts w:ascii="宋体" w:hAnsi="宋体"/>
          <w:bCs/>
          <w:color w:val="000000"/>
          <w:szCs w:val="21"/>
          <w:u w:val="single"/>
        </w:rPr>
        <w:t xml:space="preserve">  </w:t>
      </w:r>
      <w:r>
        <w:rPr>
          <w:rFonts w:hint="eastAsia" w:ascii="宋体" w:hAnsi="宋体"/>
          <w:bCs/>
          <w:color w:val="000000"/>
          <w:szCs w:val="21"/>
          <w:u w:val="single"/>
          <w:lang w:val="en-US" w:eastAsia="zh-CN"/>
        </w:rPr>
        <w:t>2</w:t>
      </w:r>
      <w:r>
        <w:rPr>
          <w:rFonts w:hint="eastAsia"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Pr>
          <w:rFonts w:hint="eastAsia" w:ascii="宋体" w:hAnsi="宋体"/>
          <w:bCs/>
          <w:color w:val="000000"/>
          <w:szCs w:val="21"/>
          <w:u w:val="single"/>
          <w:lang w:val="en-US" w:eastAsia="zh-CN"/>
        </w:rPr>
        <w:t>25</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日签订。</w:t>
      </w:r>
      <w:bookmarkStart w:id="10" w:name="_Toc351203490"/>
    </w:p>
    <w:p>
      <w:pPr>
        <w:spacing w:line="360" w:lineRule="auto"/>
        <w:rPr>
          <w:rFonts w:ascii="宋体" w:hAnsi="宋体"/>
          <w:b/>
          <w:bCs/>
          <w:color w:val="000000"/>
          <w:szCs w:val="21"/>
        </w:rPr>
      </w:pPr>
      <w:r>
        <w:rPr>
          <w:rFonts w:ascii="宋体" w:hAnsi="宋体"/>
          <w:b/>
          <w:color w:val="000000"/>
          <w:szCs w:val="21"/>
        </w:rPr>
        <w:t>十、签订地点</w:t>
      </w:r>
      <w:bookmarkEnd w:id="10"/>
    </w:p>
    <w:p>
      <w:pPr>
        <w:spacing w:line="360" w:lineRule="auto"/>
        <w:ind w:firstLine="420" w:firstLineChars="20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Pr>
          <w:rFonts w:hint="eastAsia" w:ascii="宋体" w:hAnsi="宋体"/>
          <w:bCs/>
          <w:color w:val="000000"/>
          <w:szCs w:val="21"/>
          <w:u w:val="single"/>
        </w:rPr>
        <w:t>郑州市</w:t>
      </w:r>
      <w:r>
        <w:rPr>
          <w:rFonts w:ascii="宋体" w:hAnsi="宋体"/>
          <w:bCs/>
          <w:color w:val="000000"/>
          <w:szCs w:val="21"/>
          <w:u w:val="single"/>
        </w:rPr>
        <w:t xml:space="preserve">          </w:t>
      </w:r>
      <w:r>
        <w:rPr>
          <w:rFonts w:ascii="宋体" w:hAnsi="宋体"/>
          <w:bCs/>
          <w:color w:val="000000"/>
          <w:szCs w:val="21"/>
        </w:rPr>
        <w:t>签订。</w:t>
      </w:r>
      <w:bookmarkStart w:id="11" w:name="_Toc351203491"/>
    </w:p>
    <w:p>
      <w:pPr>
        <w:spacing w:line="360" w:lineRule="auto"/>
        <w:rPr>
          <w:rFonts w:ascii="宋体" w:hAnsi="宋体"/>
          <w:b/>
          <w:bCs/>
          <w:color w:val="000000"/>
          <w:szCs w:val="21"/>
        </w:rPr>
      </w:pPr>
      <w:r>
        <w:rPr>
          <w:rFonts w:ascii="宋体" w:hAnsi="宋体"/>
          <w:b/>
          <w:color w:val="000000"/>
          <w:szCs w:val="21"/>
        </w:rPr>
        <w:t>十一、补充协议</w:t>
      </w:r>
      <w:bookmarkEnd w:id="11"/>
    </w:p>
    <w:p>
      <w:pPr>
        <w:spacing w:line="360" w:lineRule="exact"/>
        <w:ind w:firstLine="420" w:firstLineChars="200"/>
        <w:rPr>
          <w:rFonts w:ascii="宋体" w:hAnsi="宋体"/>
          <w:color w:val="000000"/>
          <w:szCs w:val="21"/>
        </w:rPr>
      </w:pPr>
    </w:p>
    <w:p>
      <w:pPr>
        <w:pStyle w:val="6"/>
        <w:jc w:val="center"/>
        <w:rPr>
          <w:rFonts w:ascii="华文中宋" w:hAnsi="华文中宋" w:eastAsia="华文中宋"/>
          <w:sz w:val="21"/>
          <w:szCs w:val="21"/>
        </w:rPr>
      </w:pPr>
      <w:r>
        <w:drawing>
          <wp:inline distT="0" distB="0" distL="114300" distR="114300">
            <wp:extent cx="5262245" cy="7437755"/>
            <wp:effectExtent l="0" t="0" r="146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r>
        <w:rPr>
          <w:rFonts w:eastAsia="仿宋_GB2312"/>
          <w:sz w:val="21"/>
          <w:szCs w:val="21"/>
        </w:rPr>
        <w:br w:type="page"/>
      </w:r>
      <w:bookmarkStart w:id="12" w:name="_Toc351203494"/>
      <w:bookmarkStart w:id="13" w:name="_Toc7289"/>
      <w:r>
        <w:rPr>
          <w:rFonts w:ascii="黑体" w:hAnsi="华文中宋" w:eastAsia="黑体"/>
          <w:bCs w:val="0"/>
          <w:sz w:val="32"/>
        </w:rPr>
        <w:t>第二部分 通用合同条款</w:t>
      </w:r>
      <w:bookmarkEnd w:id="12"/>
      <w:bookmarkEnd w:id="13"/>
      <w:bookmarkStart w:id="14" w:name="_Toc337558727"/>
    </w:p>
    <w:bookmarkEnd w:id="14"/>
    <w:p>
      <w:pPr>
        <w:jc w:val="center"/>
        <w:rPr>
          <w:rFonts w:ascii="宋体" w:hAnsi="宋体"/>
          <w:color w:val="000000"/>
          <w:szCs w:val="21"/>
        </w:rPr>
      </w:pPr>
      <w:bookmarkStart w:id="15"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6"/>
        <w:jc w:val="center"/>
        <w:rPr>
          <w:rFonts w:ascii="黑体" w:hAnsi="华文中宋" w:eastAsia="黑体"/>
          <w:bCs w:val="0"/>
          <w:sz w:val="21"/>
          <w:szCs w:val="21"/>
        </w:rPr>
      </w:pPr>
      <w:bookmarkStart w:id="16"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5"/>
      <w:bookmarkEnd w:id="16"/>
    </w:p>
    <w:p>
      <w:pPr>
        <w:pStyle w:val="7"/>
        <w:spacing w:before="120" w:after="120" w:line="320" w:lineRule="exact"/>
        <w:rPr>
          <w:rFonts w:ascii="宋体" w:hAnsi="宋体"/>
          <w:b w:val="0"/>
          <w:color w:val="000000"/>
          <w:szCs w:val="21"/>
        </w:rPr>
      </w:pPr>
      <w:bookmarkStart w:id="17" w:name="_Toc351203633"/>
      <w:bookmarkStart w:id="18" w:name="_Toc351203652"/>
      <w:r>
        <w:rPr>
          <w:rFonts w:ascii="宋体" w:hAnsi="宋体"/>
          <w:b w:val="0"/>
          <w:color w:val="000000"/>
          <w:szCs w:val="21"/>
        </w:rPr>
        <w:t>1</w:t>
      </w:r>
      <w:bookmarkStart w:id="19" w:name="_Toc296944495"/>
      <w:bookmarkStart w:id="20" w:name="_Toc297048342"/>
      <w:bookmarkStart w:id="21" w:name="_Toc296347155"/>
      <w:bookmarkStart w:id="22" w:name="_Toc292559866"/>
      <w:bookmarkStart w:id="23" w:name="_Toc292559361"/>
      <w:bookmarkStart w:id="24" w:name="_Toc296890984"/>
      <w:bookmarkStart w:id="25" w:name="_Toc296891196"/>
      <w:bookmarkStart w:id="26" w:name="_Toc297120456"/>
      <w:bookmarkStart w:id="27" w:name="_Toc296503156"/>
      <w:bookmarkStart w:id="28" w:name="_Toc296346657"/>
      <w:r>
        <w:rPr>
          <w:rFonts w:ascii="宋体" w:hAnsi="宋体"/>
          <w:b w:val="0"/>
          <w:color w:val="000000"/>
          <w:szCs w:val="21"/>
        </w:rPr>
        <w:t>. 一般约定</w:t>
      </w:r>
      <w:bookmarkEnd w:id="17"/>
    </w:p>
    <w:bookmarkEnd w:id="19"/>
    <w:bookmarkEnd w:id="20"/>
    <w:bookmarkEnd w:id="21"/>
    <w:bookmarkEnd w:id="22"/>
    <w:bookmarkEnd w:id="23"/>
    <w:bookmarkEnd w:id="24"/>
    <w:bookmarkEnd w:id="25"/>
    <w:bookmarkEnd w:id="26"/>
    <w:bookmarkEnd w:id="27"/>
    <w:bookmarkEnd w:id="28"/>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6"/>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29"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rPr>
        <w:t>1-（最终报价-暂估价-暂列金额）/（第一次报价价-暂估价-暂列金额）*100%；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7"/>
        <w:spacing w:before="120" w:after="120" w:line="320" w:lineRule="exact"/>
        <w:rPr>
          <w:rFonts w:ascii="宋体" w:hAnsi="宋体"/>
          <w:b w:val="0"/>
          <w:color w:val="000000"/>
          <w:szCs w:val="21"/>
        </w:rPr>
      </w:pPr>
      <w:r>
        <w:rPr>
          <w:rFonts w:ascii="宋体" w:hAnsi="宋体"/>
          <w:b w:val="0"/>
          <w:color w:val="000000"/>
          <w:szCs w:val="21"/>
        </w:rPr>
        <w:t>2</w:t>
      </w:r>
      <w:bookmarkStart w:id="30" w:name="_Toc296503157"/>
      <w:bookmarkStart w:id="31" w:name="_Toc297048343"/>
      <w:bookmarkStart w:id="32" w:name="_Toc297120457"/>
      <w:bookmarkStart w:id="33" w:name="_Toc296944496"/>
      <w:bookmarkStart w:id="34" w:name="_Toc296890985"/>
      <w:bookmarkStart w:id="35" w:name="_Toc292559867"/>
      <w:bookmarkStart w:id="36" w:name="_Toc296347156"/>
      <w:bookmarkStart w:id="37" w:name="_Toc292559362"/>
      <w:bookmarkStart w:id="38" w:name="_Toc296891197"/>
      <w:bookmarkStart w:id="39" w:name="_Toc296346658"/>
      <w:r>
        <w:rPr>
          <w:rFonts w:ascii="宋体" w:hAnsi="宋体"/>
          <w:b w:val="0"/>
          <w:color w:val="000000"/>
          <w:szCs w:val="21"/>
        </w:rPr>
        <w:t>. 发包人</w:t>
      </w:r>
      <w:bookmarkEnd w:id="29"/>
    </w:p>
    <w:bookmarkEnd w:id="30"/>
    <w:bookmarkEnd w:id="31"/>
    <w:bookmarkEnd w:id="32"/>
    <w:bookmarkEnd w:id="33"/>
    <w:bookmarkEnd w:id="34"/>
    <w:bookmarkEnd w:id="35"/>
    <w:bookmarkEnd w:id="36"/>
    <w:bookmarkEnd w:id="37"/>
    <w:bookmarkEnd w:id="38"/>
    <w:bookmarkEnd w:id="39"/>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FF0000"/>
          <w:szCs w:val="21"/>
        </w:rPr>
      </w:pPr>
      <w:r>
        <w:rPr>
          <w:rFonts w:ascii="宋体" w:hAnsi="宋体"/>
          <w:color w:val="000000"/>
          <w:szCs w:val="21"/>
        </w:rPr>
        <w:t xml:space="preserve">2.4.2 </w:t>
      </w:r>
      <w:r>
        <w:rPr>
          <w:rFonts w:ascii="宋体" w:hAnsi="宋体"/>
          <w:color w:val="000000" w:themeColor="text1"/>
          <w:szCs w:val="21"/>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7"/>
        <w:spacing w:before="120" w:after="120" w:line="320" w:lineRule="exact"/>
        <w:rPr>
          <w:rFonts w:ascii="宋体" w:hAnsi="宋体"/>
          <w:b w:val="0"/>
          <w:color w:val="000000"/>
          <w:szCs w:val="21"/>
        </w:rPr>
      </w:pPr>
      <w:bookmarkStart w:id="40" w:name="_Toc351203635"/>
      <w:r>
        <w:rPr>
          <w:rFonts w:ascii="宋体" w:hAnsi="宋体"/>
          <w:b w:val="0"/>
          <w:color w:val="000000"/>
          <w:szCs w:val="21"/>
        </w:rPr>
        <w:t>3</w:t>
      </w:r>
      <w:bookmarkStart w:id="41" w:name="_Toc296347157"/>
      <w:bookmarkStart w:id="42" w:name="_Toc296503158"/>
      <w:bookmarkStart w:id="43" w:name="_Toc297048344"/>
      <w:bookmarkStart w:id="44" w:name="_Toc292559363"/>
      <w:bookmarkStart w:id="45" w:name="_Toc296891198"/>
      <w:bookmarkStart w:id="46" w:name="_Toc296944497"/>
      <w:bookmarkStart w:id="47" w:name="_Toc297120458"/>
      <w:bookmarkStart w:id="48" w:name="_Toc296346659"/>
      <w:bookmarkStart w:id="49" w:name="_Toc296890986"/>
      <w:bookmarkStart w:id="50" w:name="_Toc292559868"/>
      <w:r>
        <w:rPr>
          <w:rFonts w:ascii="宋体" w:hAnsi="宋体"/>
          <w:b w:val="0"/>
          <w:color w:val="000000"/>
          <w:szCs w:val="21"/>
        </w:rPr>
        <w:t>. 承包人</w:t>
      </w:r>
      <w:bookmarkEnd w:id="40"/>
    </w:p>
    <w:bookmarkEnd w:id="41"/>
    <w:bookmarkEnd w:id="42"/>
    <w:bookmarkEnd w:id="43"/>
    <w:bookmarkEnd w:id="44"/>
    <w:bookmarkEnd w:id="45"/>
    <w:bookmarkEnd w:id="46"/>
    <w:bookmarkEnd w:id="47"/>
    <w:bookmarkEnd w:id="48"/>
    <w:bookmarkEnd w:id="49"/>
    <w:bookmarkEnd w:id="50"/>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6"/>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rPr>
        <w:t xml:space="preserve"> 孙强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szCs w:val="21"/>
          <w:u w:val="single"/>
        </w:rPr>
        <w:t></w:t>
      </w:r>
      <w:r>
        <w:rPr>
          <w:rFonts w:hint="eastAsia" w:asciiTheme="minorEastAsia" w:hAnsiTheme="minorEastAsia" w:eastAsiaTheme="minorEastAsia"/>
          <w:szCs w:val="21"/>
          <w:u w:val="single"/>
        </w:rPr>
        <w:t>豫241131335809</w:t>
      </w:r>
      <w:r>
        <w:rPr>
          <w:rFonts w:hint="eastAsia" w:ascii="宋体" w:hAnsi="宋体"/>
          <w:szCs w:val="21"/>
          <w:u w:val="single"/>
        </w:rPr>
        <w:t></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szCs w:val="21"/>
          <w:u w:val="single"/>
        </w:rPr>
        <w:t></w:t>
      </w:r>
      <w:r>
        <w:rPr>
          <w:rFonts w:hint="eastAsia" w:ascii="宋体" w:hAnsi="宋体"/>
          <w:szCs w:val="21"/>
          <w:u w:val="single"/>
        </w:rPr>
        <w:t>豫建安 B（2016）0444442</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color w:val="000000" w:themeColor="text1"/>
          <w:szCs w:val="21"/>
          <w:u w:val="single"/>
        </w:rPr>
        <w:t></w:t>
      </w:r>
      <w:r>
        <w:rPr>
          <w:rFonts w:hint="eastAsia" w:ascii="微软雅黑" w:hAnsi="微软雅黑" w:eastAsia="微软雅黑" w:cs="微软雅黑"/>
          <w:i w:val="0"/>
          <w:iCs w:val="0"/>
          <w:caps w:val="0"/>
          <w:color w:val="333333"/>
          <w:spacing w:val="0"/>
          <w:sz w:val="18"/>
          <w:szCs w:val="18"/>
          <w:u w:val="single"/>
        </w:rPr>
        <w:t>13629864498</w:t>
      </w:r>
      <w:r>
        <w:rPr>
          <w:rFonts w:ascii="宋体" w:hAnsi="宋体"/>
          <w:color w:val="000000" w:themeColor="text1"/>
          <w:szCs w:val="21"/>
          <w:u w:val="single"/>
        </w:rPr>
        <w:t></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51" w:name="_Toc292559364"/>
      <w:bookmarkStart w:id="52" w:name="_Toc300934945"/>
      <w:bookmarkStart w:id="53" w:name="_Toc296890987"/>
      <w:bookmarkStart w:id="54" w:name="_Toc292559869"/>
      <w:bookmarkStart w:id="55" w:name="_Toc304295523"/>
      <w:bookmarkStart w:id="56" w:name="_Toc297123492"/>
      <w:bookmarkStart w:id="57" w:name="_Toc296346660"/>
      <w:bookmarkStart w:id="58" w:name="_Toc297216151"/>
      <w:bookmarkStart w:id="59" w:name="_Toc303539102"/>
      <w:bookmarkStart w:id="60" w:name="_Toc296944498"/>
      <w:bookmarkStart w:id="61" w:name="_Toc297120459"/>
      <w:bookmarkStart w:id="62" w:name="_Toc296891199"/>
      <w:bookmarkStart w:id="63" w:name="_Toc297048345"/>
      <w:bookmarkStart w:id="64" w:name="_Toc296503159"/>
      <w:bookmarkStart w:id="65" w:name="_Toc296347158"/>
      <w:bookmarkStart w:id="66" w:name="_Toc312677988"/>
      <w:r>
        <w:rPr>
          <w:rFonts w:ascii="宋体" w:hAnsi="宋体"/>
          <w:color w:val="000000"/>
          <w:szCs w:val="21"/>
        </w:rPr>
        <w:t>.5 分包</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Pr>
        <w:spacing w:line="320" w:lineRule="exact"/>
        <w:ind w:firstLine="420" w:firstLineChars="200"/>
        <w:rPr>
          <w:rFonts w:ascii="宋体" w:hAnsi="宋体"/>
          <w:szCs w:val="21"/>
        </w:rPr>
      </w:pPr>
      <w:r>
        <w:rPr>
          <w:rFonts w:ascii="宋体" w:hAnsi="宋体"/>
          <w:szCs w:val="21"/>
        </w:rPr>
        <w:t>3</w:t>
      </w:r>
      <w:bookmarkStart w:id="67" w:name="_Toc297120460"/>
      <w:bookmarkStart w:id="68" w:name="_Toc303539103"/>
      <w:bookmarkStart w:id="69" w:name="_Toc292559365"/>
      <w:bookmarkStart w:id="70" w:name="_Toc297123493"/>
      <w:bookmarkStart w:id="71" w:name="_Toc318581158"/>
      <w:bookmarkStart w:id="72" w:name="_Toc297048346"/>
      <w:bookmarkStart w:id="73" w:name="_Toc296890988"/>
      <w:bookmarkStart w:id="74" w:name="_Toc297216152"/>
      <w:bookmarkStart w:id="75" w:name="_Toc296503160"/>
      <w:bookmarkStart w:id="76" w:name="_Toc304295524"/>
      <w:bookmarkStart w:id="77" w:name="_Toc300934946"/>
      <w:bookmarkStart w:id="78" w:name="_Toc296944499"/>
      <w:bookmarkStart w:id="79" w:name="_Toc296891200"/>
      <w:bookmarkStart w:id="80" w:name="_Toc296347159"/>
      <w:bookmarkStart w:id="81" w:name="_Toc292559870"/>
      <w:bookmarkStart w:id="82" w:name="_Toc312677989"/>
      <w:bookmarkStart w:id="83" w:name="_Toc296346661"/>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7"/>
        <w:spacing w:before="120" w:after="120" w:line="320" w:lineRule="exact"/>
        <w:rPr>
          <w:rFonts w:ascii="宋体" w:hAnsi="宋体"/>
          <w:b w:val="0"/>
          <w:color w:val="000000"/>
          <w:szCs w:val="21"/>
        </w:rPr>
      </w:pPr>
      <w:bookmarkStart w:id="84" w:name="_Toc351203636"/>
      <w:bookmarkStart w:id="85" w:name="_Toc49176400"/>
      <w:bookmarkStart w:id="86" w:name="_Toc50741003"/>
      <w:bookmarkStart w:id="87" w:name="_Toc51058330"/>
      <w:bookmarkStart w:id="88" w:name="_Toc267251418"/>
      <w:bookmarkStart w:id="89" w:name="_Toc351203637"/>
      <w:r>
        <w:rPr>
          <w:rFonts w:ascii="宋体" w:hAnsi="宋体"/>
          <w:b w:val="0"/>
          <w:color w:val="000000"/>
          <w:szCs w:val="21"/>
        </w:rPr>
        <w:t>4</w:t>
      </w:r>
      <w:bookmarkStart w:id="90" w:name="_Toc297048348"/>
      <w:bookmarkStart w:id="91" w:name="_Toc297120462"/>
      <w:bookmarkStart w:id="92" w:name="_Toc292559366"/>
      <w:bookmarkStart w:id="93" w:name="_Toc292559871"/>
      <w:bookmarkStart w:id="94" w:name="_Toc267251413"/>
      <w:bookmarkStart w:id="95" w:name="_Toc296346663"/>
      <w:bookmarkStart w:id="96" w:name="_Toc296347161"/>
      <w:bookmarkStart w:id="97" w:name="_Toc296503162"/>
      <w:bookmarkStart w:id="98" w:name="_Toc296890990"/>
      <w:bookmarkStart w:id="99" w:name="_Toc296891202"/>
      <w:bookmarkStart w:id="100" w:name="_Toc296944501"/>
      <w:r>
        <w:rPr>
          <w:rFonts w:ascii="宋体" w:hAnsi="宋体"/>
          <w:b w:val="0"/>
          <w:color w:val="000000"/>
          <w:szCs w:val="21"/>
        </w:rPr>
        <w:t>. 监</w:t>
      </w:r>
      <w:bookmarkEnd w:id="90"/>
      <w:bookmarkEnd w:id="91"/>
      <w:bookmarkEnd w:id="92"/>
      <w:bookmarkEnd w:id="93"/>
      <w:bookmarkEnd w:id="94"/>
      <w:bookmarkEnd w:id="95"/>
      <w:bookmarkEnd w:id="96"/>
      <w:bookmarkEnd w:id="97"/>
      <w:bookmarkEnd w:id="98"/>
      <w:bookmarkEnd w:id="99"/>
      <w:bookmarkEnd w:id="100"/>
      <w:r>
        <w:rPr>
          <w:rFonts w:ascii="宋体" w:hAnsi="宋体"/>
          <w:b w:val="0"/>
          <w:color w:val="000000"/>
          <w:szCs w:val="21"/>
        </w:rPr>
        <w:t>理人</w:t>
      </w:r>
      <w:bookmarkEnd w:id="84"/>
      <w:bookmarkEnd w:id="85"/>
      <w:bookmarkEnd w:id="86"/>
      <w:bookmarkEnd w:id="87"/>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szCs w:val="21"/>
        </w:rPr>
      </w:pPr>
      <w:r>
        <w:rPr>
          <w:rFonts w:ascii="宋体" w:hAnsi="宋体"/>
          <w:szCs w:val="21"/>
        </w:rPr>
        <w:t>关于监理人的监理内容：</w:t>
      </w:r>
      <w:r>
        <w:rPr>
          <w:rFonts w:ascii="宋体" w:hAnsi="宋体"/>
          <w:szCs w:val="21"/>
          <w:u w:val="single"/>
        </w:rPr>
        <w:t xml:space="preserve"> </w:t>
      </w:r>
      <w:r>
        <w:rPr>
          <w:rFonts w:hint="eastAsia" w:ascii="宋体" w:hAnsi="宋体"/>
          <w:b/>
          <w:szCs w:val="21"/>
          <w:u w:val="single"/>
        </w:rPr>
        <w:t xml:space="preserve">    /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关于监理人的监理权限：</w:t>
      </w:r>
      <w:r>
        <w:rPr>
          <w:rFonts w:ascii="宋体" w:hAnsi="宋体"/>
          <w:szCs w:val="21"/>
          <w:u w:val="single"/>
        </w:rPr>
        <w:t xml:space="preserve">  </w:t>
      </w:r>
      <w:r>
        <w:rPr>
          <w:rFonts w:hint="eastAsia" w:ascii="宋体" w:hAnsi="宋体"/>
          <w:szCs w:val="21"/>
          <w:u w:val="single"/>
        </w:rPr>
        <w:t xml:space="preserve">    </w:t>
      </w:r>
      <w:r>
        <w:rPr>
          <w:rFonts w:hint="eastAsia" w:ascii="宋体" w:hAnsi="宋体"/>
          <w:b/>
          <w:szCs w:val="21"/>
          <w:u w:val="single"/>
        </w:rPr>
        <w:t xml:space="preserve">/   </w:t>
      </w:r>
      <w:r>
        <w:rPr>
          <w:rFonts w:hint="eastAsia" w:ascii="宋体" w:hAnsi="宋体" w:cs="Tahoma"/>
          <w:b/>
          <w:kern w:val="0"/>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b/>
          <w:color w:val="00000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ascii="宋体" w:hAnsi="宋体"/>
          <w:color w:val="000000"/>
          <w:szCs w:val="21"/>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s="宋体"/>
          <w:b/>
          <w:kern w:val="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Pr>
          <w:rFonts w:hint="eastAsia" w:ascii="宋体" w:hAnsi="宋体" w:cs="宋体"/>
          <w:b/>
          <w:kern w:val="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w:t>
      </w:r>
      <w:r>
        <w:rPr>
          <w:rFonts w:hint="eastAsia" w:ascii="宋体" w:hAnsi="宋体"/>
          <w:b/>
          <w:color w:val="000000"/>
          <w:szCs w:val="21"/>
          <w:u w:val="single"/>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pStyle w:val="7"/>
        <w:spacing w:before="120" w:after="120" w:line="320" w:lineRule="exact"/>
        <w:rPr>
          <w:rFonts w:ascii="宋体" w:hAnsi="宋体"/>
          <w:b w:val="0"/>
          <w:color w:val="000000"/>
          <w:szCs w:val="21"/>
        </w:rPr>
      </w:pPr>
      <w:r>
        <w:rPr>
          <w:rFonts w:ascii="宋体" w:hAnsi="宋体"/>
          <w:b w:val="0"/>
          <w:color w:val="000000"/>
          <w:szCs w:val="21"/>
        </w:rPr>
        <w:t>5</w:t>
      </w:r>
      <w:bookmarkEnd w:id="88"/>
      <w:bookmarkStart w:id="101" w:name="_Toc292559367"/>
      <w:bookmarkStart w:id="102" w:name="_Toc292559872"/>
      <w:bookmarkStart w:id="103" w:name="_Toc296347162"/>
      <w:bookmarkStart w:id="104" w:name="_Toc297048349"/>
      <w:bookmarkStart w:id="105" w:name="_Toc296944502"/>
      <w:bookmarkStart w:id="106" w:name="_Toc296891203"/>
      <w:bookmarkStart w:id="107" w:name="_Toc297120463"/>
      <w:bookmarkStart w:id="108" w:name="_Toc296346664"/>
      <w:bookmarkStart w:id="109" w:name="_Toc296503163"/>
      <w:bookmarkStart w:id="110" w:name="_Toc296890991"/>
      <w:r>
        <w:rPr>
          <w:rFonts w:ascii="宋体" w:hAnsi="宋体"/>
          <w:b w:val="0"/>
          <w:color w:val="000000"/>
          <w:szCs w:val="21"/>
        </w:rPr>
        <w:t>. 工程质量</w:t>
      </w:r>
      <w:bookmarkEnd w:id="89"/>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11" w:name="_Toc312677997"/>
      <w:bookmarkStart w:id="112" w:name="_Toc297123496"/>
      <w:bookmarkStart w:id="113" w:name="_Toc318581164"/>
      <w:bookmarkStart w:id="114" w:name="_Toc300934949"/>
      <w:bookmarkStart w:id="115" w:name="_Toc297216155"/>
      <w:bookmarkStart w:id="116" w:name="_Toc303539106"/>
      <w:bookmarkStart w:id="117" w:name="_Toc304295527"/>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7"/>
        <w:spacing w:before="120" w:after="120" w:line="320" w:lineRule="exact"/>
        <w:rPr>
          <w:rFonts w:ascii="宋体" w:hAnsi="宋体"/>
          <w:b w:val="0"/>
          <w:color w:val="000000"/>
          <w:szCs w:val="21"/>
        </w:rPr>
      </w:pPr>
      <w:bookmarkStart w:id="118" w:name="_Toc351203638"/>
      <w:r>
        <w:rPr>
          <w:rFonts w:ascii="宋体" w:hAnsi="宋体"/>
          <w:b w:val="0"/>
          <w:color w:val="000000"/>
          <w:szCs w:val="21"/>
        </w:rPr>
        <w:t>6. 安全文明施工与环境保护</w:t>
      </w:r>
      <w:bookmarkEnd w:id="118"/>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6"/>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6"/>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11"/>
    <w:bookmarkEnd w:id="112"/>
    <w:bookmarkEnd w:id="113"/>
    <w:bookmarkEnd w:id="114"/>
    <w:bookmarkEnd w:id="115"/>
    <w:bookmarkEnd w:id="116"/>
    <w:bookmarkEnd w:id="117"/>
    <w:p>
      <w:pPr>
        <w:pStyle w:val="7"/>
        <w:spacing w:before="120" w:after="120" w:line="320" w:lineRule="exact"/>
        <w:rPr>
          <w:rFonts w:ascii="宋体" w:hAnsi="宋体"/>
          <w:b w:val="0"/>
          <w:color w:val="000000"/>
          <w:szCs w:val="21"/>
        </w:rPr>
      </w:pPr>
      <w:bookmarkStart w:id="119" w:name="_Toc351203639"/>
      <w:r>
        <w:rPr>
          <w:rFonts w:ascii="宋体" w:hAnsi="宋体"/>
          <w:b w:val="0"/>
          <w:color w:val="000000"/>
          <w:szCs w:val="21"/>
        </w:rPr>
        <w:t>7. 工期和进度</w:t>
      </w:r>
      <w:bookmarkEnd w:id="119"/>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0" w:name="_Toc312677479"/>
      <w:bookmarkStart w:id="121" w:name="_Toc300934966"/>
      <w:bookmarkStart w:id="122" w:name="_Toc304295541"/>
      <w:bookmarkStart w:id="123" w:name="_Toc303539123"/>
      <w:bookmarkStart w:id="124" w:name="_Toc312678005"/>
      <w:bookmarkStart w:id="125" w:name="_Toc297216173"/>
      <w:bookmarkStart w:id="126" w:name="_Toc297123514"/>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20"/>
    <w:bookmarkEnd w:id="121"/>
    <w:bookmarkEnd w:id="122"/>
    <w:bookmarkEnd w:id="123"/>
    <w:bookmarkEnd w:id="124"/>
    <w:bookmarkEnd w:id="125"/>
    <w:bookmarkEnd w:id="126"/>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7" w:name="_Toc303539125"/>
      <w:bookmarkStart w:id="128" w:name="_Toc312677484"/>
      <w:bookmarkStart w:id="129" w:name="_Toc312678010"/>
      <w:bookmarkStart w:id="130" w:name="_Toc297123516"/>
      <w:bookmarkStart w:id="131" w:name="_Toc300934968"/>
      <w:bookmarkStart w:id="132" w:name="_Toc297216175"/>
      <w:bookmarkStart w:id="133" w:name="_Toc304295546"/>
      <w:r>
        <w:rPr>
          <w:rFonts w:ascii="宋体" w:hAnsi="宋体"/>
          <w:color w:val="000000"/>
          <w:szCs w:val="21"/>
        </w:rPr>
        <w:t>.5 工期延误</w:t>
      </w:r>
    </w:p>
    <w:bookmarkEnd w:id="127"/>
    <w:bookmarkEnd w:id="128"/>
    <w:bookmarkEnd w:id="129"/>
    <w:bookmarkEnd w:id="130"/>
    <w:bookmarkEnd w:id="131"/>
    <w:bookmarkEnd w:id="132"/>
    <w:bookmarkEnd w:id="133"/>
    <w:p>
      <w:pPr>
        <w:spacing w:line="320" w:lineRule="exact"/>
        <w:ind w:firstLine="420" w:firstLineChars="200"/>
        <w:jc w:val="left"/>
        <w:rPr>
          <w:rFonts w:ascii="宋体" w:hAnsi="宋体"/>
          <w:szCs w:val="21"/>
        </w:rPr>
      </w:pPr>
      <w:r>
        <w:rPr>
          <w:rFonts w:ascii="宋体" w:hAnsi="宋体"/>
          <w:szCs w:val="21"/>
        </w:rPr>
        <w:t>7</w:t>
      </w:r>
      <w:bookmarkStart w:id="134" w:name="_Toc312678012"/>
      <w:bookmarkStart w:id="135" w:name="_Toc312677486"/>
      <w:bookmarkStart w:id="136" w:name="_Toc318581169"/>
      <w:bookmarkStart w:id="137" w:name="_Toc303539127"/>
      <w:bookmarkStart w:id="138" w:name="_Toc300934970"/>
      <w:bookmarkStart w:id="139" w:name="_Toc297123518"/>
      <w:bookmarkStart w:id="140" w:name="_Toc304295548"/>
      <w:bookmarkStart w:id="141" w:name="_Toc297216177"/>
      <w:r>
        <w:rPr>
          <w:rFonts w:ascii="宋体" w:hAnsi="宋体"/>
          <w:szCs w:val="21"/>
        </w:rPr>
        <w:t>.5.2 因承包人原因导致工期延误</w:t>
      </w:r>
    </w:p>
    <w:bookmarkEnd w:id="134"/>
    <w:bookmarkEnd w:id="135"/>
    <w:bookmarkEnd w:id="136"/>
    <w:p>
      <w:pPr>
        <w:spacing w:line="320" w:lineRule="exact"/>
        <w:ind w:firstLine="420" w:firstLineChars="200"/>
        <w:jc w:val="left"/>
        <w:rPr>
          <w:rFonts w:ascii="宋体" w:hAnsi="宋体"/>
          <w:szCs w:val="21"/>
          <w:u w:val="single"/>
        </w:rPr>
      </w:pPr>
      <w:r>
        <w:rPr>
          <w:rFonts w:ascii="宋体" w:hAnsi="宋体"/>
          <w:szCs w:val="21"/>
        </w:rPr>
        <w:t>因</w:t>
      </w:r>
      <w:bookmarkStart w:id="142" w:name="_Toc312678013"/>
      <w:bookmarkStart w:id="143" w:name="_Toc312677487"/>
      <w:bookmarkStart w:id="144"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7"/>
      <w:bookmarkEnd w:id="138"/>
      <w:bookmarkEnd w:id="139"/>
      <w:bookmarkEnd w:id="140"/>
      <w:bookmarkEnd w:id="141"/>
      <w:bookmarkEnd w:id="142"/>
      <w:bookmarkEnd w:id="143"/>
    </w:p>
    <w:bookmarkEnd w:id="144"/>
    <w:p>
      <w:pPr>
        <w:spacing w:after="120" w:line="320" w:lineRule="exact"/>
        <w:ind w:firstLine="420" w:firstLineChars="200"/>
        <w:rPr>
          <w:rFonts w:ascii="宋体" w:hAnsi="宋体"/>
          <w:color w:val="000000"/>
          <w:szCs w:val="21"/>
        </w:rPr>
      </w:pPr>
      <w:r>
        <w:rPr>
          <w:rFonts w:ascii="宋体" w:hAnsi="宋体"/>
          <w:color w:val="000000"/>
          <w:szCs w:val="21"/>
        </w:rPr>
        <w:t>7</w:t>
      </w:r>
      <w:bookmarkStart w:id="145" w:name="_Toc300934973"/>
      <w:bookmarkStart w:id="146" w:name="_Toc297123521"/>
      <w:bookmarkStart w:id="147" w:name="_Toc312678017"/>
      <w:bookmarkStart w:id="148" w:name="_Toc304295551"/>
      <w:bookmarkStart w:id="149" w:name="_Toc297216180"/>
      <w:bookmarkStart w:id="150" w:name="_Toc303539130"/>
      <w:r>
        <w:rPr>
          <w:rFonts w:ascii="宋体" w:hAnsi="宋体"/>
          <w:color w:val="000000"/>
          <w:szCs w:val="21"/>
        </w:rPr>
        <w:t>.7异常恶劣的气候条件</w:t>
      </w:r>
    </w:p>
    <w:bookmarkEnd w:id="145"/>
    <w:bookmarkEnd w:id="146"/>
    <w:bookmarkEnd w:id="147"/>
    <w:bookmarkEnd w:id="148"/>
    <w:bookmarkEnd w:id="149"/>
    <w:bookmarkEnd w:id="150"/>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7"/>
        <w:spacing w:before="120" w:after="120" w:line="320" w:lineRule="exact"/>
        <w:rPr>
          <w:rFonts w:ascii="宋体" w:hAnsi="宋体"/>
          <w:b w:val="0"/>
          <w:color w:val="000000"/>
          <w:szCs w:val="21"/>
        </w:rPr>
      </w:pPr>
      <w:bookmarkStart w:id="151" w:name="_Toc351203640"/>
      <w:r>
        <w:rPr>
          <w:rFonts w:ascii="宋体" w:hAnsi="宋体"/>
          <w:b w:val="0"/>
          <w:color w:val="000000"/>
          <w:szCs w:val="21"/>
        </w:rPr>
        <w:t>8. 材料与设备</w:t>
      </w:r>
      <w:bookmarkEnd w:id="151"/>
    </w:p>
    <w:p>
      <w:pPr>
        <w:pStyle w:val="7"/>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101"/>
    <w:bookmarkEnd w:id="102"/>
    <w:bookmarkEnd w:id="103"/>
    <w:bookmarkEnd w:id="104"/>
    <w:bookmarkEnd w:id="105"/>
    <w:bookmarkEnd w:id="106"/>
    <w:bookmarkEnd w:id="107"/>
    <w:bookmarkEnd w:id="108"/>
    <w:bookmarkEnd w:id="109"/>
    <w:bookmarkEnd w:id="110"/>
    <w:p>
      <w:pPr>
        <w:spacing w:after="120" w:line="320" w:lineRule="exact"/>
        <w:ind w:firstLine="420" w:firstLineChars="200"/>
        <w:rPr>
          <w:rFonts w:ascii="宋体" w:hAnsi="宋体"/>
          <w:color w:val="000000"/>
          <w:szCs w:val="21"/>
        </w:rPr>
      </w:pPr>
      <w:r>
        <w:rPr>
          <w:rFonts w:ascii="宋体" w:hAnsi="宋体"/>
          <w:color w:val="000000"/>
          <w:szCs w:val="21"/>
        </w:rPr>
        <w:t>8</w:t>
      </w:r>
      <w:bookmarkStart w:id="152" w:name="_Toc296944506"/>
      <w:bookmarkStart w:id="153" w:name="_Toc300934979"/>
      <w:bookmarkStart w:id="154" w:name="_Toc297048353"/>
      <w:bookmarkStart w:id="155" w:name="_Toc297123527"/>
      <w:bookmarkStart w:id="156" w:name="_Toc280868654"/>
      <w:bookmarkStart w:id="157" w:name="_Toc312677493"/>
      <w:bookmarkStart w:id="158" w:name="_Toc296346668"/>
      <w:bookmarkStart w:id="159" w:name="_Toc292559877"/>
      <w:bookmarkStart w:id="160" w:name="_Toc292559372"/>
      <w:bookmarkStart w:id="161" w:name="_Toc296347166"/>
      <w:bookmarkStart w:id="162" w:name="_Toc296503167"/>
      <w:bookmarkStart w:id="163" w:name="_Toc296890995"/>
      <w:bookmarkStart w:id="164" w:name="_Toc297120467"/>
      <w:bookmarkStart w:id="165" w:name="_Toc296891207"/>
      <w:bookmarkStart w:id="166" w:name="_Toc297216186"/>
      <w:bookmarkStart w:id="167" w:name="_Toc312678019"/>
      <w:bookmarkStart w:id="168" w:name="_Toc304295556"/>
      <w:bookmarkStart w:id="169" w:name="_Toc303539136"/>
      <w:bookmarkStart w:id="170" w:name="_Toc280868656"/>
      <w:bookmarkStart w:id="171" w:name="_Toc280868655"/>
      <w:bookmarkStart w:id="172" w:name="_Toc267251424"/>
      <w:r>
        <w:rPr>
          <w:rFonts w:ascii="宋体" w:hAnsi="宋体"/>
          <w:color w:val="000000"/>
          <w:szCs w:val="21"/>
        </w:rPr>
        <w:t>.4材料与工程设备的保管与使用</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Pr>
        <w:spacing w:line="320" w:lineRule="exact"/>
        <w:ind w:firstLine="420" w:firstLineChars="200"/>
        <w:jc w:val="left"/>
        <w:rPr>
          <w:rFonts w:ascii="宋体" w:hAnsi="宋体"/>
          <w:szCs w:val="21"/>
          <w:u w:val="single"/>
        </w:rPr>
      </w:pPr>
      <w:r>
        <w:rPr>
          <w:rFonts w:ascii="宋体" w:hAnsi="宋体"/>
          <w:szCs w:val="21"/>
        </w:rPr>
        <w:t>8</w:t>
      </w:r>
      <w:bookmarkStart w:id="173" w:name="_Toc292559878"/>
      <w:bookmarkStart w:id="174" w:name="_Toc292559373"/>
      <w:bookmarkStart w:id="175" w:name="_Toc296890996"/>
      <w:bookmarkStart w:id="176" w:name="_Toc312678020"/>
      <w:bookmarkStart w:id="177" w:name="_Toc296503168"/>
      <w:bookmarkStart w:id="178" w:name="_Toc296944507"/>
      <w:bookmarkStart w:id="179" w:name="_Toc296347167"/>
      <w:bookmarkStart w:id="180" w:name="_Toc296346669"/>
      <w:bookmarkStart w:id="181" w:name="_Toc300934980"/>
      <w:bookmarkStart w:id="182" w:name="_Toc297120468"/>
      <w:bookmarkStart w:id="183" w:name="_Toc296891208"/>
      <w:bookmarkStart w:id="184" w:name="_Toc304295557"/>
      <w:bookmarkStart w:id="185" w:name="_Toc297123528"/>
      <w:bookmarkStart w:id="186" w:name="_Toc312677494"/>
      <w:bookmarkStart w:id="187" w:name="_Toc303539137"/>
      <w:bookmarkStart w:id="188" w:name="_Toc297216187"/>
      <w:bookmarkStart w:id="189" w:name="_Toc297048354"/>
      <w:bookmarkStart w:id="190" w:name="_Toc318581173"/>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73"/>
      <w:bookmarkEnd w:id="174"/>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Pr>
        <w:pStyle w:val="7"/>
        <w:spacing w:before="120" w:after="120" w:line="320" w:lineRule="exact"/>
        <w:rPr>
          <w:rFonts w:ascii="宋体" w:hAnsi="宋体"/>
          <w:b w:val="0"/>
          <w:color w:val="000000"/>
          <w:szCs w:val="21"/>
        </w:rPr>
      </w:pPr>
      <w:bookmarkStart w:id="191" w:name="_Toc351203641"/>
      <w:r>
        <w:rPr>
          <w:rFonts w:ascii="宋体" w:hAnsi="宋体"/>
          <w:b w:val="0"/>
          <w:color w:val="000000"/>
          <w:szCs w:val="21"/>
        </w:rPr>
        <w:t>9</w:t>
      </w:r>
      <w:bookmarkEnd w:id="170"/>
      <w:bookmarkEnd w:id="171"/>
      <w:bookmarkEnd w:id="172"/>
      <w:bookmarkStart w:id="192" w:name="_Toc297123533"/>
      <w:bookmarkStart w:id="193" w:name="_Toc312677495"/>
      <w:bookmarkStart w:id="194" w:name="_Toc300934982"/>
      <w:bookmarkStart w:id="195" w:name="_Toc297216192"/>
      <w:bookmarkStart w:id="196" w:name="_Toc304295559"/>
      <w:bookmarkStart w:id="197" w:name="_Toc312678021"/>
      <w:bookmarkStart w:id="198" w:name="_Toc303539139"/>
      <w:bookmarkStart w:id="199" w:name="_Toc292559883"/>
      <w:bookmarkStart w:id="200" w:name="_Toc296944512"/>
      <w:bookmarkStart w:id="201" w:name="_Toc267251427"/>
      <w:bookmarkStart w:id="202" w:name="_Toc296503173"/>
      <w:bookmarkStart w:id="203" w:name="_Toc292559378"/>
      <w:bookmarkStart w:id="204" w:name="_Toc267251428"/>
      <w:bookmarkStart w:id="205" w:name="_Toc296347172"/>
      <w:bookmarkStart w:id="206" w:name="_Toc296891001"/>
      <w:bookmarkStart w:id="207" w:name="_Toc297120473"/>
      <w:bookmarkStart w:id="208" w:name="_Toc297048359"/>
      <w:bookmarkStart w:id="209" w:name="_Toc296346674"/>
      <w:bookmarkStart w:id="210" w:name="_Toc296891213"/>
      <w:r>
        <w:rPr>
          <w:rFonts w:ascii="宋体" w:hAnsi="宋体"/>
          <w:b w:val="0"/>
          <w:color w:val="000000"/>
          <w:szCs w:val="21"/>
        </w:rPr>
        <w:t>. 试验与检验</w:t>
      </w:r>
      <w:bookmarkEnd w:id="191"/>
    </w:p>
    <w:bookmarkEnd w:id="192"/>
    <w:bookmarkEnd w:id="193"/>
    <w:bookmarkEnd w:id="194"/>
    <w:bookmarkEnd w:id="195"/>
    <w:bookmarkEnd w:id="196"/>
    <w:bookmarkEnd w:id="197"/>
    <w:bookmarkEnd w:id="198"/>
    <w:p>
      <w:pPr>
        <w:spacing w:after="120" w:line="320" w:lineRule="exact"/>
        <w:ind w:firstLine="420" w:firstLineChars="200"/>
        <w:rPr>
          <w:rFonts w:ascii="宋体" w:hAnsi="宋体"/>
          <w:color w:val="000000"/>
          <w:szCs w:val="21"/>
        </w:rPr>
      </w:pPr>
      <w:r>
        <w:rPr>
          <w:rFonts w:ascii="宋体" w:hAnsi="宋体"/>
          <w:color w:val="000000"/>
          <w:szCs w:val="21"/>
        </w:rPr>
        <w:t>9</w:t>
      </w:r>
      <w:bookmarkStart w:id="211" w:name="_Toc312678022"/>
      <w:bookmarkStart w:id="212" w:name="_Toc300934983"/>
      <w:bookmarkStart w:id="213" w:name="_Toc312677496"/>
      <w:bookmarkStart w:id="214" w:name="_Toc304295560"/>
      <w:bookmarkStart w:id="215" w:name="_Toc297216193"/>
      <w:bookmarkStart w:id="216" w:name="_Toc303539140"/>
      <w:bookmarkStart w:id="217" w:name="_Toc297123534"/>
      <w:r>
        <w:rPr>
          <w:rFonts w:ascii="宋体" w:hAnsi="宋体"/>
          <w:color w:val="000000"/>
          <w:szCs w:val="21"/>
        </w:rPr>
        <w:t>.1试验设备与试验人员</w:t>
      </w:r>
    </w:p>
    <w:bookmarkEnd w:id="211"/>
    <w:bookmarkEnd w:id="212"/>
    <w:bookmarkEnd w:id="213"/>
    <w:bookmarkEnd w:id="214"/>
    <w:bookmarkEnd w:id="215"/>
    <w:bookmarkEnd w:id="216"/>
    <w:bookmarkEnd w:id="217"/>
    <w:p>
      <w:pPr>
        <w:spacing w:line="320" w:lineRule="exact"/>
        <w:ind w:firstLine="420" w:firstLineChars="200"/>
        <w:jc w:val="left"/>
        <w:rPr>
          <w:rFonts w:ascii="宋体" w:hAnsi="宋体"/>
          <w:szCs w:val="21"/>
        </w:rPr>
      </w:pPr>
      <w:r>
        <w:rPr>
          <w:rFonts w:ascii="宋体" w:hAnsi="宋体"/>
          <w:szCs w:val="21"/>
        </w:rPr>
        <w:t>9</w:t>
      </w:r>
      <w:bookmarkStart w:id="218" w:name="_Toc297216194"/>
      <w:bookmarkStart w:id="219" w:name="_Toc312677497"/>
      <w:bookmarkStart w:id="220" w:name="_Toc300934984"/>
      <w:bookmarkStart w:id="221" w:name="_Toc297123535"/>
      <w:bookmarkStart w:id="222" w:name="_Toc312678023"/>
      <w:bookmarkStart w:id="223" w:name="_Toc303539141"/>
      <w:bookmarkStart w:id="224" w:name="_Toc304295561"/>
      <w:bookmarkStart w:id="225"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8"/>
      <w:bookmarkEnd w:id="219"/>
      <w:bookmarkEnd w:id="220"/>
      <w:bookmarkEnd w:id="221"/>
      <w:bookmarkEnd w:id="222"/>
      <w:bookmarkEnd w:id="223"/>
      <w:bookmarkEnd w:id="224"/>
      <w:bookmarkStart w:id="226" w:name="_Toc312678024"/>
      <w:bookmarkStart w:id="227" w:name="_Toc303539142"/>
      <w:bookmarkStart w:id="228" w:name="_Toc304295562"/>
      <w:bookmarkStart w:id="229" w:name="_Toc297123536"/>
      <w:bookmarkStart w:id="230" w:name="_Toc300934985"/>
      <w:bookmarkStart w:id="231" w:name="_Toc297216195"/>
      <w:bookmarkStart w:id="232"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5"/>
    <w:bookmarkEnd w:id="226"/>
    <w:bookmarkEnd w:id="227"/>
    <w:bookmarkEnd w:id="228"/>
    <w:bookmarkEnd w:id="229"/>
    <w:bookmarkEnd w:id="230"/>
    <w:bookmarkEnd w:id="231"/>
    <w:bookmarkEnd w:id="232"/>
    <w:p>
      <w:pPr>
        <w:pStyle w:val="7"/>
        <w:spacing w:before="120" w:after="120" w:line="320" w:lineRule="exact"/>
        <w:rPr>
          <w:rFonts w:ascii="宋体" w:hAnsi="宋体"/>
          <w:b w:val="0"/>
          <w:color w:val="000000"/>
          <w:szCs w:val="21"/>
        </w:rPr>
      </w:pPr>
      <w:bookmarkStart w:id="233" w:name="_Toc351203642"/>
      <w:r>
        <w:rPr>
          <w:rFonts w:ascii="宋体" w:hAnsi="宋体"/>
          <w:b w:val="0"/>
          <w:color w:val="000000"/>
          <w:szCs w:val="21"/>
        </w:rPr>
        <w:t>1</w:t>
      </w:r>
      <w:bookmarkEnd w:id="199"/>
      <w:bookmarkEnd w:id="200"/>
      <w:bookmarkEnd w:id="201"/>
      <w:bookmarkEnd w:id="202"/>
      <w:bookmarkEnd w:id="203"/>
      <w:bookmarkEnd w:id="204"/>
      <w:bookmarkEnd w:id="205"/>
      <w:bookmarkEnd w:id="206"/>
      <w:bookmarkEnd w:id="207"/>
      <w:bookmarkEnd w:id="208"/>
      <w:bookmarkEnd w:id="209"/>
      <w:bookmarkEnd w:id="210"/>
      <w:bookmarkStart w:id="234" w:name="_Toc296347192"/>
      <w:bookmarkStart w:id="235" w:name="_Toc296503193"/>
      <w:bookmarkStart w:id="236" w:name="_Toc297123540"/>
      <w:bookmarkStart w:id="237" w:name="_Toc292559398"/>
      <w:bookmarkStart w:id="238" w:name="_Toc297216199"/>
      <w:bookmarkStart w:id="239" w:name="_Toc292559903"/>
      <w:bookmarkStart w:id="240" w:name="_Toc304295566"/>
      <w:bookmarkStart w:id="241" w:name="_Toc296346694"/>
      <w:bookmarkStart w:id="242" w:name="_Toc297120493"/>
      <w:bookmarkStart w:id="243" w:name="_Toc303539146"/>
      <w:bookmarkStart w:id="244" w:name="_Toc296944532"/>
      <w:bookmarkStart w:id="245" w:name="_Toc300934989"/>
      <w:bookmarkStart w:id="246" w:name="_Toc297048379"/>
      <w:bookmarkStart w:id="247" w:name="_Toc296891021"/>
      <w:bookmarkStart w:id="248" w:name="_Toc296891233"/>
      <w:bookmarkStart w:id="249" w:name="_Toc312677499"/>
      <w:bookmarkStart w:id="250" w:name="_Toc312678025"/>
      <w:bookmarkStart w:id="251" w:name="_Toc267251440"/>
      <w:bookmarkStart w:id="252" w:name="_Toc267251437"/>
      <w:bookmarkStart w:id="253" w:name="_Toc267251439"/>
      <w:bookmarkStart w:id="254" w:name="_Toc267251435"/>
      <w:bookmarkStart w:id="255" w:name="_Toc267251433"/>
      <w:bookmarkStart w:id="256" w:name="_Toc267251441"/>
      <w:bookmarkStart w:id="257" w:name="_Toc267251442"/>
      <w:r>
        <w:rPr>
          <w:rFonts w:ascii="宋体" w:hAnsi="宋体"/>
          <w:b w:val="0"/>
          <w:color w:val="000000"/>
          <w:szCs w:val="21"/>
        </w:rPr>
        <w:t>0. 变更</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bookmarkEnd w:id="249"/>
    <w:bookmarkEnd w:id="250"/>
    <w:p>
      <w:pPr>
        <w:spacing w:after="120" w:line="320" w:lineRule="exact"/>
        <w:ind w:firstLine="420" w:firstLineChars="200"/>
        <w:rPr>
          <w:rFonts w:ascii="宋体" w:hAnsi="宋体"/>
          <w:color w:val="000000"/>
          <w:szCs w:val="21"/>
        </w:rPr>
      </w:pPr>
      <w:r>
        <w:rPr>
          <w:rFonts w:ascii="宋体" w:hAnsi="宋体"/>
          <w:color w:val="000000"/>
          <w:szCs w:val="21"/>
        </w:rPr>
        <w:t>1</w:t>
      </w:r>
      <w:bookmarkStart w:id="258" w:name="_Toc292559904"/>
      <w:bookmarkStart w:id="259" w:name="_Toc292559399"/>
      <w:bookmarkStart w:id="260" w:name="_Toc300934990"/>
      <w:bookmarkStart w:id="261" w:name="_Toc296503194"/>
      <w:bookmarkStart w:id="262" w:name="_Toc296891022"/>
      <w:bookmarkStart w:id="263" w:name="_Toc304295567"/>
      <w:bookmarkStart w:id="264" w:name="_Toc296346695"/>
      <w:bookmarkStart w:id="265" w:name="_Toc312677500"/>
      <w:bookmarkStart w:id="266" w:name="_Toc297216200"/>
      <w:bookmarkStart w:id="267" w:name="_Toc303539147"/>
      <w:bookmarkStart w:id="268" w:name="_Toc297123541"/>
      <w:bookmarkStart w:id="269" w:name="_Toc297048380"/>
      <w:bookmarkStart w:id="270" w:name="_Toc296891234"/>
      <w:bookmarkStart w:id="271" w:name="_Toc296347193"/>
      <w:bookmarkStart w:id="272" w:name="_Toc296944533"/>
      <w:bookmarkStart w:id="273" w:name="_Toc297120494"/>
      <w:bookmarkStart w:id="274" w:name="_Toc312678026"/>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rPr>
        <w:t>1-（最终报价-暂列金额-暂估价）/（第一次报价-暂列金额-暂估价）*100%；</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rPr>
        <w:t>：1-（最终报价-暂列金额-暂估价）/（招标控制价-暂列金额-暂估价）*100%；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5" w:name="_Toc296944538"/>
      <w:bookmarkStart w:id="276" w:name="_Toc297048385"/>
      <w:bookmarkStart w:id="277" w:name="_Toc296347198"/>
      <w:bookmarkStart w:id="278" w:name="_Toc312677507"/>
      <w:bookmarkStart w:id="279" w:name="_Toc292559404"/>
      <w:bookmarkStart w:id="280" w:name="_Toc304295574"/>
      <w:bookmarkStart w:id="281" w:name="_Toc296503199"/>
      <w:bookmarkStart w:id="282" w:name="_Toc312678033"/>
      <w:bookmarkStart w:id="283" w:name="_Toc296891239"/>
      <w:bookmarkStart w:id="284" w:name="_Toc292559909"/>
      <w:bookmarkStart w:id="285" w:name="_Toc297120499"/>
      <w:bookmarkStart w:id="286" w:name="_Toc296346700"/>
      <w:bookmarkStart w:id="287" w:name="_Toc297123548"/>
      <w:bookmarkStart w:id="288" w:name="_Toc296891027"/>
      <w:bookmarkStart w:id="289" w:name="_Toc297216207"/>
      <w:bookmarkStart w:id="290" w:name="_Toc300934997"/>
      <w:bookmarkStart w:id="291" w:name="_Toc303539154"/>
      <w:r>
        <w:rPr>
          <w:rFonts w:ascii="宋体" w:hAnsi="宋体"/>
          <w:szCs w:val="21"/>
        </w:rPr>
        <w:t>0.7 暂估价</w:t>
      </w:r>
    </w:p>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Pr>
        <w:spacing w:line="320" w:lineRule="exact"/>
        <w:ind w:firstLine="420" w:firstLineChars="200"/>
        <w:jc w:val="left"/>
        <w:rPr>
          <w:rFonts w:ascii="宋体" w:hAnsi="宋体"/>
          <w:szCs w:val="21"/>
        </w:rPr>
      </w:pPr>
      <w:r>
        <w:rPr>
          <w:rFonts w:ascii="宋体" w:hAnsi="宋体"/>
          <w:kern w:val="0"/>
          <w:szCs w:val="21"/>
        </w:rPr>
        <w:t>暂</w:t>
      </w:r>
      <w:bookmarkStart w:id="292" w:name="_Toc312678034"/>
      <w:bookmarkStart w:id="293" w:name="_Toc312677508"/>
      <w:bookmarkStart w:id="294" w:name="_Toc318581176"/>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92"/>
    <w:bookmarkEnd w:id="293"/>
    <w:bookmarkEnd w:id="294"/>
    <w:p>
      <w:pPr>
        <w:spacing w:line="320" w:lineRule="exact"/>
        <w:ind w:firstLine="420" w:firstLineChars="200"/>
        <w:jc w:val="left"/>
        <w:rPr>
          <w:rFonts w:ascii="宋体" w:hAnsi="宋体"/>
          <w:szCs w:val="21"/>
        </w:rPr>
      </w:pPr>
      <w:r>
        <w:rPr>
          <w:rFonts w:ascii="宋体" w:hAnsi="宋体"/>
          <w:szCs w:val="21"/>
        </w:rPr>
        <w:t>1</w:t>
      </w:r>
      <w:bookmarkStart w:id="295" w:name="_Toc312677509"/>
      <w:bookmarkStart w:id="296" w:name="_Toc318581177"/>
      <w:bookmarkStart w:id="297" w:name="_Toc312678035"/>
      <w:r>
        <w:rPr>
          <w:rFonts w:ascii="宋体" w:hAnsi="宋体"/>
          <w:szCs w:val="21"/>
        </w:rPr>
        <w:t>0.7.1暂估价项目</w:t>
      </w:r>
    </w:p>
    <w:bookmarkEnd w:id="295"/>
    <w:bookmarkEnd w:id="296"/>
    <w:bookmarkEnd w:id="297"/>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7"/>
        <w:spacing w:before="120" w:after="120" w:line="320" w:lineRule="exact"/>
        <w:rPr>
          <w:rFonts w:ascii="宋体" w:hAnsi="宋体"/>
          <w:b w:val="0"/>
          <w:color w:val="000000"/>
          <w:szCs w:val="21"/>
        </w:rPr>
      </w:pPr>
      <w:bookmarkStart w:id="298" w:name="_Toc351203643"/>
      <w:r>
        <w:rPr>
          <w:rFonts w:ascii="宋体" w:hAnsi="宋体"/>
          <w:b w:val="0"/>
          <w:color w:val="000000"/>
          <w:szCs w:val="21"/>
        </w:rPr>
        <w:t>11. 价格调整</w:t>
      </w:r>
      <w:bookmarkEnd w:id="298"/>
    </w:p>
    <w:p>
      <w:pPr>
        <w:spacing w:after="120" w:line="320" w:lineRule="exact"/>
        <w:ind w:firstLine="420" w:firstLineChars="200"/>
        <w:rPr>
          <w:rFonts w:ascii="宋体" w:hAnsi="宋体"/>
          <w:color w:val="000000"/>
          <w:szCs w:val="21"/>
        </w:rPr>
      </w:pPr>
      <w:bookmarkStart w:id="299" w:name="_Toc296891029"/>
      <w:bookmarkStart w:id="300" w:name="_Toc297048387"/>
      <w:bookmarkStart w:id="301" w:name="_Toc297120501"/>
      <w:bookmarkStart w:id="302" w:name="_Toc312678039"/>
      <w:bookmarkStart w:id="303" w:name="_Toc297216209"/>
      <w:bookmarkStart w:id="304" w:name="_Toc303539157"/>
      <w:bookmarkStart w:id="305" w:name="_Toc296347200"/>
      <w:bookmarkStart w:id="306" w:name="_Toc296944540"/>
      <w:bookmarkStart w:id="307" w:name="_Toc297123550"/>
      <w:bookmarkStart w:id="308" w:name="_Toc292559911"/>
      <w:bookmarkStart w:id="309" w:name="_Toc296891241"/>
      <w:bookmarkStart w:id="310" w:name="_Toc292559406"/>
      <w:bookmarkStart w:id="311" w:name="_Toc296503201"/>
      <w:bookmarkStart w:id="312" w:name="_Toc300935000"/>
      <w:bookmarkStart w:id="313" w:name="_Toc296346702"/>
      <w:bookmarkStart w:id="314" w:name="_Toc304295577"/>
      <w:r>
        <w:rPr>
          <w:rFonts w:ascii="宋体" w:hAnsi="宋体"/>
          <w:color w:val="000000"/>
          <w:szCs w:val="21"/>
        </w:rPr>
        <w:t>11.1 市场价格波动引起的调整</w:t>
      </w:r>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51"/>
    <w:bookmarkEnd w:id="252"/>
    <w:bookmarkEnd w:id="253"/>
    <w:bookmarkEnd w:id="254"/>
    <w:bookmarkEnd w:id="255"/>
    <w:bookmarkEnd w:id="256"/>
    <w:p>
      <w:pPr>
        <w:pStyle w:val="7"/>
        <w:spacing w:before="120" w:after="120" w:line="320" w:lineRule="exact"/>
        <w:rPr>
          <w:rFonts w:ascii="宋体" w:hAnsi="宋体"/>
          <w:b w:val="0"/>
          <w:color w:val="000000"/>
          <w:szCs w:val="21"/>
        </w:rPr>
      </w:pPr>
      <w:bookmarkStart w:id="315" w:name="_Toc297120505"/>
      <w:bookmarkStart w:id="316" w:name="_Toc296347204"/>
      <w:bookmarkStart w:id="317" w:name="_Toc297048391"/>
      <w:bookmarkStart w:id="318" w:name="_Toc296944544"/>
      <w:bookmarkStart w:id="319" w:name="_Toc292559410"/>
      <w:bookmarkStart w:id="320" w:name="_Toc296891245"/>
      <w:bookmarkStart w:id="321" w:name="_Toc292559915"/>
      <w:bookmarkStart w:id="322" w:name="_Toc296503205"/>
      <w:bookmarkStart w:id="323" w:name="_Toc296346706"/>
      <w:bookmarkStart w:id="324" w:name="_Toc296891033"/>
      <w:bookmarkStart w:id="325" w:name="_Toc351203644"/>
      <w:bookmarkStart w:id="326" w:name="_Toc297216211"/>
      <w:bookmarkStart w:id="327" w:name="_Toc300935002"/>
      <w:bookmarkStart w:id="328" w:name="_Toc312678040"/>
      <w:bookmarkStart w:id="329" w:name="_Toc304295579"/>
      <w:bookmarkStart w:id="330" w:name="_Toc303539159"/>
      <w:bookmarkStart w:id="331" w:name="_Toc297123552"/>
      <w:r>
        <w:rPr>
          <w:rFonts w:ascii="宋体" w:hAnsi="宋体"/>
          <w:b w:val="0"/>
          <w:color w:val="000000"/>
          <w:szCs w:val="21"/>
        </w:rPr>
        <w:t xml:space="preserve">12. </w:t>
      </w:r>
      <w:bookmarkEnd w:id="315"/>
      <w:bookmarkEnd w:id="316"/>
      <w:bookmarkEnd w:id="317"/>
      <w:bookmarkEnd w:id="318"/>
      <w:bookmarkEnd w:id="319"/>
      <w:bookmarkEnd w:id="320"/>
      <w:bookmarkEnd w:id="321"/>
      <w:bookmarkEnd w:id="322"/>
      <w:bookmarkEnd w:id="323"/>
      <w:bookmarkEnd w:id="324"/>
      <w:r>
        <w:rPr>
          <w:rFonts w:ascii="宋体" w:hAnsi="宋体"/>
          <w:b w:val="0"/>
          <w:color w:val="000000"/>
          <w:szCs w:val="21"/>
        </w:rPr>
        <w:t>合同价格、计量与支付</w:t>
      </w:r>
      <w:bookmarkEnd w:id="325"/>
    </w:p>
    <w:bookmarkEnd w:id="326"/>
    <w:bookmarkEnd w:id="327"/>
    <w:bookmarkEnd w:id="328"/>
    <w:bookmarkEnd w:id="329"/>
    <w:bookmarkEnd w:id="330"/>
    <w:bookmarkEnd w:id="331"/>
    <w:p>
      <w:pPr>
        <w:spacing w:line="320" w:lineRule="exact"/>
        <w:ind w:firstLine="420" w:firstLineChars="200"/>
        <w:jc w:val="left"/>
        <w:rPr>
          <w:rFonts w:ascii="宋体" w:hAnsi="宋体"/>
          <w:color w:val="000000"/>
          <w:szCs w:val="21"/>
        </w:rPr>
      </w:pPr>
      <w:bookmarkStart w:id="332" w:name="_Toc292559411"/>
      <w:bookmarkStart w:id="333" w:name="_Toc292559916"/>
      <w:bookmarkStart w:id="334" w:name="_Toc267251461"/>
      <w:bookmarkStart w:id="335" w:name="_Toc296891246"/>
      <w:bookmarkStart w:id="336" w:name="_Toc296503206"/>
      <w:bookmarkStart w:id="337" w:name="_Toc297120506"/>
      <w:bookmarkStart w:id="338" w:name="_Toc296891034"/>
      <w:bookmarkStart w:id="339" w:name="_Toc296944545"/>
      <w:bookmarkStart w:id="340" w:name="_Toc297048392"/>
      <w:bookmarkStart w:id="341" w:name="_Toc296347205"/>
      <w:bookmarkStart w:id="342" w:name="_Toc296346707"/>
      <w:bookmarkStart w:id="343" w:name="_Toc297216212"/>
      <w:bookmarkStart w:id="344" w:name="_Toc300935003"/>
      <w:bookmarkStart w:id="345" w:name="_Toc312678041"/>
      <w:bookmarkStart w:id="346" w:name="_Toc297123553"/>
      <w:bookmarkStart w:id="347" w:name="_Toc303539160"/>
      <w:bookmarkStart w:id="348" w:name="_Toc304295580"/>
      <w:r>
        <w:rPr>
          <w:rFonts w:ascii="宋体" w:hAnsi="宋体"/>
          <w:color w:val="000000"/>
          <w:szCs w:val="21"/>
        </w:rPr>
        <w:t>12.1 合</w:t>
      </w:r>
      <w:bookmarkEnd w:id="332"/>
      <w:bookmarkEnd w:id="333"/>
      <w:bookmarkEnd w:id="334"/>
      <w:r>
        <w:rPr>
          <w:rFonts w:ascii="宋体" w:hAnsi="宋体"/>
          <w:color w:val="000000"/>
          <w:szCs w:val="21"/>
        </w:rPr>
        <w:t>同价</w:t>
      </w:r>
      <w:bookmarkEnd w:id="335"/>
      <w:bookmarkEnd w:id="336"/>
      <w:bookmarkEnd w:id="337"/>
      <w:bookmarkEnd w:id="338"/>
      <w:bookmarkEnd w:id="339"/>
      <w:bookmarkEnd w:id="340"/>
      <w:bookmarkEnd w:id="341"/>
      <w:bookmarkEnd w:id="342"/>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43"/>
    <w:bookmarkEnd w:id="344"/>
    <w:bookmarkEnd w:id="345"/>
    <w:bookmarkEnd w:id="346"/>
    <w:bookmarkEnd w:id="347"/>
    <w:bookmarkEnd w:id="348"/>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12.4.4工程款支付时应预留审定价的3%作为质量保证金，工程质保期满后，再行支付给承包人。</w:t>
      </w:r>
    </w:p>
    <w:bookmarkEnd w:id="257"/>
    <w:p>
      <w:pPr>
        <w:pStyle w:val="7"/>
        <w:spacing w:before="120" w:after="120" w:line="320" w:lineRule="exact"/>
        <w:rPr>
          <w:rFonts w:ascii="宋体" w:hAnsi="宋体"/>
          <w:b w:val="0"/>
          <w:color w:val="000000"/>
          <w:szCs w:val="21"/>
        </w:rPr>
      </w:pPr>
      <w:bookmarkStart w:id="349" w:name="_Toc351203645"/>
      <w:bookmarkStart w:id="350" w:name="_Toc297120519"/>
      <w:bookmarkStart w:id="351" w:name="_Toc303539172"/>
      <w:bookmarkStart w:id="352" w:name="_Toc292559929"/>
      <w:bookmarkStart w:id="353" w:name="_Toc297123564"/>
      <w:bookmarkStart w:id="354" w:name="_Toc296891047"/>
      <w:bookmarkStart w:id="355" w:name="_Toc296347218"/>
      <w:bookmarkStart w:id="356" w:name="_Toc297048405"/>
      <w:bookmarkStart w:id="357" w:name="_Toc296503219"/>
      <w:bookmarkStart w:id="358" w:name="_Toc292559424"/>
      <w:bookmarkStart w:id="359" w:name="_Toc296944558"/>
      <w:bookmarkStart w:id="360" w:name="_Toc304295593"/>
      <w:bookmarkStart w:id="361" w:name="_Toc297216223"/>
      <w:bookmarkStart w:id="362" w:name="_Toc296891259"/>
      <w:bookmarkStart w:id="363" w:name="_Toc296346720"/>
      <w:bookmarkStart w:id="364" w:name="_Toc312678053"/>
      <w:bookmarkStart w:id="365" w:name="_Toc30093501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49"/>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6" w:name="_Toc296944562"/>
      <w:bookmarkStart w:id="367" w:name="_Toc297123565"/>
      <w:bookmarkStart w:id="368" w:name="_Toc297216224"/>
      <w:bookmarkStart w:id="369" w:name="_Toc304295596"/>
      <w:bookmarkStart w:id="370" w:name="_Toc296891051"/>
      <w:bookmarkStart w:id="371" w:name="_Toc296346724"/>
      <w:bookmarkStart w:id="372" w:name="_Toc297048409"/>
      <w:bookmarkStart w:id="373" w:name="_Toc292559933"/>
      <w:bookmarkStart w:id="374" w:name="_Toc296347222"/>
      <w:bookmarkStart w:id="375" w:name="_Toc303539173"/>
      <w:bookmarkStart w:id="376" w:name="_Toc296891263"/>
      <w:bookmarkStart w:id="377" w:name="_Toc312678056"/>
      <w:bookmarkStart w:id="378" w:name="_Toc296503223"/>
      <w:bookmarkStart w:id="379" w:name="_Toc292559428"/>
      <w:bookmarkStart w:id="380" w:name="_Toc300935016"/>
      <w:bookmarkStart w:id="381" w:name="_Toc297120523"/>
      <w:bookmarkStart w:id="382" w:name="_Toc267251475"/>
      <w:bookmarkStart w:id="383" w:name="_Toc267251473"/>
      <w:bookmarkStart w:id="384" w:name="_Toc267251472"/>
      <w:bookmarkStart w:id="385" w:name="_Toc267251471"/>
      <w:bookmarkStart w:id="386" w:name="_Toc267251470"/>
      <w:bookmarkStart w:id="387" w:name="_Toc267251476"/>
      <w:bookmarkStart w:id="388" w:name="_Toc267251474"/>
      <w:r>
        <w:rPr>
          <w:rFonts w:ascii="宋体" w:hAnsi="宋体"/>
          <w:color w:val="000000"/>
          <w:szCs w:val="21"/>
        </w:rPr>
        <w:t>13.2 竣工验收</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Pr>
        <w:spacing w:line="320" w:lineRule="exact"/>
        <w:ind w:firstLine="422" w:firstLineChars="200"/>
        <w:jc w:val="left"/>
        <w:rPr>
          <w:rFonts w:ascii="宋体" w:hAnsi="宋体"/>
          <w:b/>
          <w:szCs w:val="21"/>
          <w:u w:val="single"/>
        </w:rPr>
      </w:pPr>
      <w:bookmarkStart w:id="389" w:name="_Toc280868708"/>
      <w:bookmarkStart w:id="390" w:name="_Toc280868706"/>
      <w:bookmarkStart w:id="391" w:name="_Toc280868707"/>
      <w:bookmarkStart w:id="392"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89"/>
    <w:bookmarkEnd w:id="390"/>
    <w:bookmarkEnd w:id="391"/>
    <w:p>
      <w:pPr>
        <w:pStyle w:val="7"/>
        <w:spacing w:before="120" w:after="120" w:line="320" w:lineRule="exact"/>
        <w:rPr>
          <w:rFonts w:ascii="宋体" w:hAnsi="宋体"/>
          <w:b w:val="0"/>
          <w:color w:val="000000"/>
          <w:szCs w:val="21"/>
        </w:rPr>
      </w:pPr>
      <w:bookmarkStart w:id="393" w:name="_Toc351203646"/>
      <w:r>
        <w:rPr>
          <w:rFonts w:ascii="宋体" w:hAnsi="宋体"/>
          <w:b w:val="0"/>
          <w:color w:val="000000"/>
          <w:szCs w:val="21"/>
        </w:rPr>
        <w:t>14. 竣工结算</w:t>
      </w:r>
      <w:bookmarkEnd w:id="393"/>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82"/>
    <w:bookmarkEnd w:id="383"/>
    <w:bookmarkEnd w:id="384"/>
    <w:bookmarkEnd w:id="385"/>
    <w:bookmarkEnd w:id="386"/>
    <w:bookmarkEnd w:id="387"/>
    <w:bookmarkEnd w:id="388"/>
    <w:bookmarkEnd w:id="392"/>
    <w:p>
      <w:pPr>
        <w:pStyle w:val="7"/>
        <w:spacing w:before="120" w:after="120" w:line="320" w:lineRule="exact"/>
        <w:rPr>
          <w:rFonts w:ascii="宋体" w:hAnsi="宋体"/>
          <w:b w:val="0"/>
          <w:color w:val="000000"/>
          <w:szCs w:val="21"/>
        </w:rPr>
      </w:pPr>
      <w:bookmarkStart w:id="394" w:name="_Toc351203647"/>
      <w:bookmarkStart w:id="395" w:name="_Toc267251483"/>
      <w:bookmarkStart w:id="396" w:name="_Toc267251482"/>
      <w:bookmarkStart w:id="397" w:name="_Toc267251486"/>
      <w:bookmarkStart w:id="398" w:name="_Toc267251484"/>
      <w:bookmarkStart w:id="399" w:name="_Toc267251489"/>
      <w:bookmarkStart w:id="400" w:name="_Toc267251488"/>
      <w:bookmarkStart w:id="401" w:name="_Toc267251485"/>
      <w:bookmarkStart w:id="402" w:name="_Toc267251490"/>
      <w:bookmarkStart w:id="403" w:name="_Toc267251493"/>
      <w:bookmarkStart w:id="404" w:name="_Toc267251499"/>
      <w:bookmarkStart w:id="405" w:name="_Toc267251498"/>
      <w:bookmarkStart w:id="406" w:name="_Toc267251496"/>
      <w:bookmarkStart w:id="407" w:name="_Toc267251491"/>
      <w:bookmarkStart w:id="408" w:name="_Toc267251495"/>
      <w:bookmarkStart w:id="409" w:name="_Toc267251497"/>
      <w:bookmarkStart w:id="410" w:name="_Toc267251503"/>
      <w:bookmarkStart w:id="411" w:name="_Toc267251494"/>
      <w:bookmarkStart w:id="412" w:name="_Toc267251501"/>
      <w:bookmarkStart w:id="413" w:name="_Toc267251492"/>
      <w:bookmarkStart w:id="414" w:name="_Toc267251502"/>
      <w:bookmarkStart w:id="415" w:name="_Toc267251504"/>
      <w:bookmarkStart w:id="416" w:name="_Toc267251508"/>
      <w:bookmarkStart w:id="417" w:name="_Toc267251506"/>
      <w:bookmarkStart w:id="418" w:name="_Toc267251507"/>
      <w:bookmarkStart w:id="419" w:name="_Toc267251515"/>
      <w:bookmarkStart w:id="420" w:name="_Toc267251510"/>
      <w:bookmarkStart w:id="421" w:name="_Toc267251511"/>
      <w:bookmarkStart w:id="422" w:name="_Toc267251513"/>
      <w:bookmarkStart w:id="423" w:name="_Toc267251509"/>
      <w:bookmarkStart w:id="424" w:name="_Toc267251514"/>
      <w:r>
        <w:rPr>
          <w:rFonts w:ascii="宋体" w:hAnsi="宋体"/>
          <w:b w:val="0"/>
          <w:color w:val="000000"/>
          <w:szCs w:val="21"/>
        </w:rPr>
        <w:t>15. 缺陷责任期与保修</w:t>
      </w:r>
      <w:bookmarkEnd w:id="394"/>
    </w:p>
    <w:bookmarkEnd w:id="395"/>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6"/>
    <w:bookmarkEnd w:id="397"/>
    <w:bookmarkEnd w:id="398"/>
    <w:bookmarkEnd w:id="399"/>
    <w:bookmarkEnd w:id="400"/>
    <w:bookmarkEnd w:id="401"/>
    <w:bookmarkEnd w:id="402"/>
    <w:p>
      <w:pPr>
        <w:pStyle w:val="7"/>
        <w:spacing w:before="120" w:after="120" w:line="320" w:lineRule="exact"/>
        <w:rPr>
          <w:rFonts w:ascii="宋体" w:hAnsi="宋体"/>
          <w:b w:val="0"/>
          <w:color w:val="000000"/>
          <w:szCs w:val="21"/>
        </w:rPr>
      </w:pPr>
      <w:bookmarkStart w:id="425" w:name="_Toc351203648"/>
      <w:bookmarkStart w:id="426" w:name="_Toc280868717"/>
      <w:bookmarkStart w:id="427" w:name="_Toc280868718"/>
      <w:r>
        <w:rPr>
          <w:rFonts w:ascii="宋体" w:hAnsi="宋体"/>
          <w:b w:val="0"/>
          <w:color w:val="000000"/>
          <w:szCs w:val="21"/>
        </w:rPr>
        <w:t>16. 违约</w:t>
      </w:r>
      <w:bookmarkEnd w:id="425"/>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7"/>
        <w:spacing w:before="120" w:after="120" w:line="240" w:lineRule="auto"/>
        <w:rPr>
          <w:rFonts w:ascii="宋体" w:hAnsi="宋体"/>
          <w:b w:val="0"/>
          <w:color w:val="000000"/>
          <w:szCs w:val="21"/>
        </w:rPr>
      </w:pPr>
      <w:bookmarkStart w:id="428" w:name="_Toc351203649"/>
      <w:r>
        <w:rPr>
          <w:rFonts w:ascii="宋体" w:hAnsi="宋体"/>
          <w:b w:val="0"/>
          <w:color w:val="000000"/>
          <w:szCs w:val="21"/>
        </w:rPr>
        <w:t>17. 不可抗力</w:t>
      </w:r>
      <w:bookmarkEnd w:id="428"/>
      <w:r>
        <w:rPr>
          <w:rFonts w:ascii="宋体" w:hAnsi="宋体"/>
          <w:b w:val="0"/>
          <w:color w:val="000000"/>
          <w:szCs w:val="21"/>
        </w:rPr>
        <w:t xml:space="preserve"> </w:t>
      </w:r>
      <w:bookmarkEnd w:id="426"/>
    </w:p>
    <w:p>
      <w:pPr>
        <w:spacing w:after="120"/>
        <w:ind w:firstLine="420" w:firstLineChars="200"/>
        <w:rPr>
          <w:rFonts w:ascii="宋体" w:hAnsi="宋体"/>
          <w:color w:val="000000"/>
          <w:szCs w:val="21"/>
        </w:rPr>
      </w:pPr>
      <w:r>
        <w:rPr>
          <w:rFonts w:ascii="宋体" w:hAnsi="宋体"/>
          <w:color w:val="000000"/>
          <w:szCs w:val="21"/>
        </w:rPr>
        <w:t>17.1 不可抗力的确认</w:t>
      </w:r>
    </w:p>
    <w:p>
      <w:pPr>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7"/>
        <w:spacing w:before="120" w:after="120" w:line="240" w:lineRule="auto"/>
        <w:rPr>
          <w:rFonts w:ascii="宋体" w:hAnsi="宋体"/>
          <w:b w:val="0"/>
          <w:color w:val="000000"/>
          <w:szCs w:val="21"/>
        </w:rPr>
      </w:pPr>
      <w:bookmarkStart w:id="429" w:name="_Toc351203650"/>
      <w:r>
        <w:rPr>
          <w:rFonts w:ascii="宋体" w:hAnsi="宋体"/>
          <w:b w:val="0"/>
          <w:color w:val="000000"/>
          <w:szCs w:val="21"/>
        </w:rPr>
        <w:t>18. 保险</w:t>
      </w:r>
      <w:bookmarkEnd w:id="429"/>
    </w:p>
    <w:bookmarkEnd w:id="427"/>
    <w:p>
      <w:pPr>
        <w:spacing w:after="120"/>
        <w:ind w:firstLine="420" w:firstLineChars="200"/>
        <w:rPr>
          <w:rFonts w:ascii="宋体" w:hAnsi="宋体"/>
          <w:color w:val="000000"/>
          <w:szCs w:val="21"/>
        </w:rPr>
      </w:pPr>
      <w:r>
        <w:rPr>
          <w:rFonts w:ascii="宋体" w:hAnsi="宋体"/>
          <w:color w:val="000000"/>
          <w:szCs w:val="21"/>
        </w:rPr>
        <w:t>18.1 工程保险</w:t>
      </w:r>
    </w:p>
    <w:p>
      <w:pPr>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ind w:firstLine="420" w:firstLineChars="200"/>
        <w:rPr>
          <w:rFonts w:ascii="宋体" w:hAnsi="宋体"/>
          <w:color w:val="000000"/>
          <w:szCs w:val="21"/>
        </w:rPr>
      </w:pPr>
      <w:r>
        <w:rPr>
          <w:rFonts w:ascii="宋体" w:hAnsi="宋体"/>
          <w:color w:val="000000"/>
          <w:szCs w:val="21"/>
        </w:rPr>
        <w:t>18.3 其他保险</w:t>
      </w:r>
    </w:p>
    <w:p>
      <w:pPr>
        <w:spacing w:line="360" w:lineRule="auto"/>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60" w:lineRule="auto"/>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60" w:lineRule="auto"/>
        <w:ind w:firstLine="420" w:firstLineChars="200"/>
        <w:rPr>
          <w:rFonts w:ascii="宋体" w:hAnsi="宋体"/>
          <w:color w:val="000000"/>
          <w:szCs w:val="21"/>
        </w:rPr>
      </w:pPr>
      <w:r>
        <w:rPr>
          <w:rFonts w:ascii="宋体" w:hAnsi="宋体"/>
          <w:color w:val="000000"/>
          <w:szCs w:val="21"/>
        </w:rPr>
        <w:t>18.7 通知义务</w:t>
      </w:r>
    </w:p>
    <w:p>
      <w:pPr>
        <w:spacing w:line="360" w:lineRule="auto"/>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403"/>
    <w:bookmarkEnd w:id="404"/>
    <w:bookmarkEnd w:id="405"/>
    <w:bookmarkEnd w:id="406"/>
    <w:bookmarkEnd w:id="407"/>
    <w:bookmarkEnd w:id="408"/>
    <w:bookmarkEnd w:id="409"/>
    <w:bookmarkEnd w:id="410"/>
    <w:bookmarkEnd w:id="411"/>
    <w:bookmarkEnd w:id="412"/>
    <w:bookmarkEnd w:id="413"/>
    <w:bookmarkEnd w:id="414"/>
    <w:p>
      <w:pPr>
        <w:pStyle w:val="7"/>
        <w:spacing w:before="120" w:after="120"/>
        <w:rPr>
          <w:rFonts w:ascii="宋体" w:hAnsi="宋体"/>
          <w:b w:val="0"/>
          <w:color w:val="000000"/>
          <w:szCs w:val="21"/>
        </w:rPr>
      </w:pPr>
      <w:bookmarkStart w:id="430" w:name="_Toc351203651"/>
      <w:r>
        <w:rPr>
          <w:rFonts w:ascii="宋体" w:hAnsi="宋体"/>
          <w:b w:val="0"/>
          <w:color w:val="000000"/>
          <w:szCs w:val="21"/>
        </w:rPr>
        <w:t>20. 争议解决</w:t>
      </w:r>
      <w:bookmarkEnd w:id="430"/>
    </w:p>
    <w:bookmarkEnd w:id="415"/>
    <w:bookmarkEnd w:id="416"/>
    <w:bookmarkEnd w:id="417"/>
    <w:bookmarkEnd w:id="418"/>
    <w:p>
      <w:pPr>
        <w:spacing w:after="120" w:line="360" w:lineRule="auto"/>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19"/>
      <w:bookmarkEnd w:id="420"/>
      <w:bookmarkEnd w:id="421"/>
      <w:bookmarkEnd w:id="422"/>
      <w:bookmarkEnd w:id="423"/>
      <w:bookmarkEnd w:id="424"/>
    </w:p>
    <w:p>
      <w:pPr>
        <w:spacing w:line="360" w:lineRule="auto"/>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8"/>
    <w:p>
      <w:pPr>
        <w:spacing w:line="360" w:lineRule="auto"/>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360" w:lineRule="auto"/>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rPr>
        <w:t>对施工现场消防用具采取保护措施（自动报警装置、淋浴头、应急灯等）。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19"/>
      </w:pPr>
    </w:p>
    <w:p>
      <w:pPr>
        <w:pStyle w:val="19"/>
      </w:pPr>
    </w:p>
    <w:p>
      <w:pPr>
        <w:pStyle w:val="19"/>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szCs w:val="21"/>
          <w:u w:val="single"/>
        </w:rPr>
        <w:t xml:space="preserve">  </w:t>
      </w:r>
      <w:r>
        <w:rPr>
          <w:rFonts w:hint="eastAsia" w:ascii="宋体" w:hAnsi="宋体"/>
          <w:color w:val="000000"/>
          <w:szCs w:val="21"/>
          <w:u w:val="single"/>
        </w:rPr>
        <w:t>河南华中建设工程有限公司</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szCs w:val="21"/>
          <w:u w:val="single"/>
        </w:rPr>
        <w:t xml:space="preserve">郑州大学后勤管理处北校区图书馆防水维修工程 </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0"/>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404"/>
        <w:gridCol w:w="5680"/>
      </w:tblGrid>
      <w:tr>
        <w:tblPrEx>
          <w:tblCellMar>
            <w:top w:w="0" w:type="dxa"/>
            <w:left w:w="108" w:type="dxa"/>
            <w:bottom w:w="0" w:type="dxa"/>
            <w:right w:w="108" w:type="dxa"/>
          </w:tblCellMar>
        </w:tblPrEx>
        <w:trPr>
          <w:trHeight w:val="369" w:hRule="atLeast"/>
        </w:trPr>
        <w:tc>
          <w:tcPr>
            <w:tcW w:w="4404" w:type="dxa"/>
          </w:tcPr>
          <w:p>
            <w:pPr>
              <w:rPr>
                <w:szCs w:val="21"/>
              </w:rPr>
            </w:pPr>
          </w:p>
        </w:tc>
        <w:tc>
          <w:tcPr>
            <w:tcW w:w="568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rPr>
          <w:rFonts w:hint="eastAsia" w:ascii="宋体" w:hAnsi="宋体" w:cs="宋体"/>
          <w:szCs w:val="21"/>
        </w:rPr>
      </w:pPr>
      <w:r>
        <w:drawing>
          <wp:inline distT="0" distB="0" distL="114300" distR="114300">
            <wp:extent cx="5262245" cy="7437755"/>
            <wp:effectExtent l="0" t="0" r="1460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pPr>
        <w:rPr>
          <w:rFonts w:hint="eastAsia" w:ascii="宋体" w:hAnsi="宋体" w:cs="宋体"/>
          <w:szCs w:val="21"/>
        </w:rPr>
      </w:pPr>
      <w:r>
        <w:rPr>
          <w:rFonts w:hint="eastAsia" w:ascii="宋体" w:hAnsi="宋体" w:cs="宋体"/>
          <w:szCs w:val="21"/>
        </w:rPr>
        <w:br w:type="page"/>
      </w:r>
    </w:p>
    <w:p>
      <w:pPr>
        <w:spacing w:beforeLines="50" w:afterLines="50" w:line="440" w:lineRule="exact"/>
        <w:rPr>
          <w:rFonts w:ascii="宋体" w:hAnsi="宋体" w:cs="宋体"/>
          <w:szCs w:val="21"/>
        </w:rPr>
      </w:pPr>
      <w:bookmarkStart w:id="432" w:name="_GoBack"/>
      <w:bookmarkEnd w:id="432"/>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tbl>
      <w:tblPr>
        <w:tblStyle w:val="20"/>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ascii="宋体" w:hAnsi="宋体" w:cs="宋体"/>
                <w:kern w:val="0"/>
                <w:szCs w:val="21"/>
              </w:rPr>
            </w:pPr>
            <w:r>
              <w:rPr>
                <w:rFonts w:hint="eastAsia" w:ascii="宋体" w:hAnsi="宋体"/>
                <w:color w:val="000000"/>
                <w:szCs w:val="21"/>
              </w:rPr>
              <w:t>郑州大学后勤管理处北校区图书馆防水维修工程</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792000.00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2022年3月4日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2022年5月3日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ascii="宋体" w:hAnsi="宋体" w:cs="宋体"/>
          <w:sz w:val="30"/>
          <w:szCs w:val="30"/>
        </w:rPr>
      </w:pPr>
      <w:r>
        <w:rPr>
          <w:rFonts w:hint="eastAsia" w:ascii="宋体" w:hAnsi="宋体" w:cs="宋体"/>
          <w:sz w:val="30"/>
          <w:szCs w:val="30"/>
        </w:rPr>
        <w:br w:type="page"/>
      </w:r>
    </w:p>
    <w:p>
      <w:pPr>
        <w:widowControl/>
        <w:jc w:val="left"/>
        <w:rPr>
          <w:rFonts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360" w:lineRule="auto"/>
        <w:rPr>
          <w:rFonts w:ascii="Arial" w:hAnsi="Arial" w:cs="Arial"/>
          <w:sz w:val="30"/>
          <w:szCs w:val="30"/>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 xml:space="preserve"> </w:t>
      </w:r>
      <w:r>
        <w:rPr>
          <w:rFonts w:ascii="Arial" w:hAnsi="Arial" w:cs="Arial"/>
          <w:sz w:val="30"/>
          <w:szCs w:val="30"/>
        </w:rPr>
        <w:t>承包人用于本工程主要材料表</w:t>
      </w:r>
    </w:p>
    <w:tbl>
      <w:tblPr>
        <w:tblStyle w:val="20"/>
        <w:tblpPr w:leftFromText="180" w:rightFromText="180" w:vertAnchor="text" w:horzAnchor="margin" w:tblpY="82"/>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37"/>
        <w:gridCol w:w="1102"/>
        <w:gridCol w:w="1365"/>
        <w:gridCol w:w="1344"/>
        <w:gridCol w:w="861"/>
        <w:gridCol w:w="1528"/>
        <w:gridCol w:w="1485"/>
        <w:gridCol w:w="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eastAsia="Times New Roman" w:cs="Arial"/>
                <w:kern w:val="0"/>
                <w:szCs w:val="21"/>
              </w:rPr>
              <w:t>序号</w:t>
            </w:r>
          </w:p>
        </w:tc>
        <w:tc>
          <w:tcPr>
            <w:tcW w:w="1102"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cs="Arial"/>
                <w:kern w:val="0"/>
                <w:szCs w:val="21"/>
              </w:rPr>
              <w:t>材料</w:t>
            </w:r>
            <w:r>
              <w:rPr>
                <w:rFonts w:ascii="Arial" w:hAnsi="Arial" w:eastAsia="Times New Roman" w:cs="Arial"/>
                <w:kern w:val="0"/>
                <w:szCs w:val="21"/>
              </w:rPr>
              <w:t>名称</w:t>
            </w:r>
          </w:p>
        </w:tc>
        <w:tc>
          <w:tcPr>
            <w:tcW w:w="1365"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eastAsia="Times New Roman" w:cs="Arial"/>
                <w:kern w:val="0"/>
                <w:szCs w:val="21"/>
              </w:rPr>
              <w:t>规格型号</w:t>
            </w:r>
          </w:p>
        </w:tc>
        <w:tc>
          <w:tcPr>
            <w:tcW w:w="1344"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eastAsia="Times New Roman" w:cs="Arial"/>
                <w:kern w:val="0"/>
                <w:szCs w:val="21"/>
              </w:rPr>
              <w:t>数量</w:t>
            </w:r>
          </w:p>
        </w:tc>
        <w:tc>
          <w:tcPr>
            <w:tcW w:w="861" w:type="dxa"/>
            <w:tcBorders>
              <w:top w:val="single" w:color="auto" w:sz="12" w:space="0"/>
              <w:bottom w:val="double" w:color="auto" w:sz="6" w:space="0"/>
            </w:tcBorders>
            <w:noWrap w:val="0"/>
            <w:vAlign w:val="center"/>
          </w:tcPr>
          <w:p>
            <w:pPr>
              <w:keepNext/>
              <w:spacing w:line="360" w:lineRule="auto"/>
              <w:ind w:left="63" w:right="63"/>
              <w:rPr>
                <w:rFonts w:ascii="Arial" w:hAnsi="Arial" w:cs="Arial"/>
                <w:kern w:val="0"/>
                <w:szCs w:val="21"/>
              </w:rPr>
            </w:pPr>
            <w:r>
              <w:rPr>
                <w:rFonts w:ascii="Arial" w:hAnsi="Arial" w:cs="Arial"/>
                <w:kern w:val="0"/>
                <w:szCs w:val="21"/>
              </w:rPr>
              <w:t>品牌</w:t>
            </w:r>
          </w:p>
        </w:tc>
        <w:tc>
          <w:tcPr>
            <w:tcW w:w="1528"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cs="Arial"/>
                <w:kern w:val="0"/>
                <w:szCs w:val="21"/>
              </w:rPr>
              <w:t>厂家</w:t>
            </w:r>
          </w:p>
        </w:tc>
        <w:tc>
          <w:tcPr>
            <w:tcW w:w="1485" w:type="dxa"/>
            <w:tcBorders>
              <w:top w:val="single" w:color="auto" w:sz="12" w:space="0"/>
              <w:bottom w:val="double" w:color="auto" w:sz="6" w:space="0"/>
            </w:tcBorders>
            <w:noWrap w:val="0"/>
            <w:vAlign w:val="center"/>
          </w:tcPr>
          <w:p>
            <w:pPr>
              <w:keepNext/>
              <w:spacing w:line="360" w:lineRule="auto"/>
              <w:ind w:left="63" w:right="63"/>
              <w:rPr>
                <w:rFonts w:ascii="Arial" w:hAnsi="Arial" w:cs="Arial"/>
                <w:kern w:val="0"/>
                <w:szCs w:val="21"/>
              </w:rPr>
            </w:pPr>
            <w:r>
              <w:rPr>
                <w:rFonts w:ascii="Arial" w:hAnsi="Arial" w:cs="Arial"/>
                <w:kern w:val="0"/>
                <w:szCs w:val="21"/>
              </w:rPr>
              <w:t>产地</w:t>
            </w:r>
          </w:p>
        </w:tc>
        <w:tc>
          <w:tcPr>
            <w:tcW w:w="895" w:type="dxa"/>
            <w:tcBorders>
              <w:top w:val="single" w:color="auto" w:sz="12" w:space="0"/>
              <w:bottom w:val="double" w:color="auto" w:sz="6" w:space="0"/>
            </w:tcBorders>
            <w:noWrap w:val="0"/>
            <w:vAlign w:val="center"/>
          </w:tcPr>
          <w:p>
            <w:pPr>
              <w:keepNext/>
              <w:spacing w:line="360" w:lineRule="auto"/>
              <w:ind w:left="63" w:right="63"/>
              <w:rPr>
                <w:rFonts w:ascii="Arial" w:hAnsi="Arial" w:eastAsia="Times New Roman" w:cs="Arial"/>
                <w:kern w:val="0"/>
                <w:szCs w:val="21"/>
              </w:rPr>
            </w:pPr>
            <w:r>
              <w:rPr>
                <w:rFonts w:ascii="Arial" w:hAnsi="Arial" w:eastAsia="Times New Roman" w:cs="Arial"/>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double" w:color="auto" w:sz="6" w:space="0"/>
              <w:bottom w:val="single" w:color="auto" w:sz="6" w:space="0"/>
            </w:tcBorders>
            <w:noWrap w:val="0"/>
            <w:vAlign w:val="center"/>
          </w:tcPr>
          <w:p>
            <w:pPr>
              <w:keepNext/>
              <w:spacing w:line="360" w:lineRule="auto"/>
              <w:ind w:left="63" w:right="63"/>
              <w:rPr>
                <w:rFonts w:hint="eastAsia" w:ascii="Arial" w:hAnsi="Arial" w:eastAsia="宋体" w:cs="Arial"/>
                <w:kern w:val="0"/>
                <w:szCs w:val="21"/>
                <w:lang w:val="en-US" w:eastAsia="zh-CN"/>
              </w:rPr>
            </w:pPr>
            <w:r>
              <w:rPr>
                <w:rFonts w:hint="eastAsia" w:ascii="Arial" w:hAnsi="Arial" w:cs="Arial"/>
                <w:kern w:val="0"/>
                <w:szCs w:val="21"/>
                <w:lang w:val="en-US" w:eastAsia="zh-CN"/>
              </w:rPr>
              <w:t>1</w:t>
            </w:r>
          </w:p>
        </w:tc>
        <w:tc>
          <w:tcPr>
            <w:tcW w:w="1102" w:type="dxa"/>
            <w:tcBorders>
              <w:top w:val="double" w:color="auto" w:sz="6" w:space="0"/>
              <w:bottom w:val="single" w:color="auto" w:sz="6" w:space="0"/>
            </w:tcBorders>
            <w:noWrap w:val="0"/>
            <w:vAlign w:val="center"/>
          </w:tcPr>
          <w:p>
            <w:pPr>
              <w:keepNext/>
              <w:spacing w:line="360" w:lineRule="auto"/>
              <w:ind w:left="63" w:right="63"/>
              <w:rPr>
                <w:rFonts w:hint="eastAsia" w:ascii="Arial" w:hAnsi="Arial" w:eastAsia="宋体" w:cs="Arial"/>
                <w:kern w:val="0"/>
                <w:szCs w:val="21"/>
                <w:lang w:eastAsia="zh-CN"/>
              </w:rPr>
            </w:pPr>
            <w:r>
              <w:rPr>
                <w:rFonts w:hint="eastAsia" w:ascii="Arial" w:hAnsi="Arial" w:cs="Arial"/>
                <w:kern w:val="0"/>
                <w:szCs w:val="21"/>
                <w:lang w:eastAsia="zh-CN"/>
              </w:rPr>
              <w:t>防水卷材</w:t>
            </w:r>
          </w:p>
        </w:tc>
        <w:tc>
          <w:tcPr>
            <w:tcW w:w="1365" w:type="dxa"/>
            <w:tcBorders>
              <w:top w:val="double" w:color="auto" w:sz="6" w:space="0"/>
              <w:bottom w:val="single" w:color="auto" w:sz="6" w:space="0"/>
            </w:tcBorders>
            <w:noWrap w:val="0"/>
            <w:vAlign w:val="center"/>
          </w:tcPr>
          <w:p>
            <w:pPr>
              <w:keepNext/>
              <w:spacing w:line="360" w:lineRule="auto"/>
              <w:ind w:left="63" w:right="63"/>
              <w:rPr>
                <w:rFonts w:hint="default" w:ascii="Arial" w:hAnsi="Arial" w:eastAsia="宋体" w:cs="Arial"/>
                <w:kern w:val="0"/>
                <w:szCs w:val="21"/>
                <w:lang w:val="en-US" w:eastAsia="zh-CN"/>
              </w:rPr>
            </w:pPr>
            <w:r>
              <w:rPr>
                <w:rFonts w:hint="eastAsia" w:ascii="Arial" w:hAnsi="Arial" w:cs="Arial"/>
                <w:kern w:val="0"/>
                <w:szCs w:val="21"/>
                <w:lang w:val="en-US" w:eastAsia="zh-CN"/>
              </w:rPr>
              <w:t>SBS1PYMP23-10</w:t>
            </w:r>
          </w:p>
        </w:tc>
        <w:tc>
          <w:tcPr>
            <w:tcW w:w="1344" w:type="dxa"/>
            <w:tcBorders>
              <w:top w:val="double" w:color="auto" w:sz="6" w:space="0"/>
              <w:bottom w:val="single" w:color="auto" w:sz="6" w:space="0"/>
            </w:tcBorders>
            <w:noWrap w:val="0"/>
            <w:vAlign w:val="center"/>
          </w:tcPr>
          <w:p>
            <w:pPr>
              <w:keepNext/>
              <w:spacing w:line="360" w:lineRule="auto"/>
              <w:ind w:left="63" w:right="63"/>
              <w:rPr>
                <w:rFonts w:hint="default" w:ascii="Arial" w:hAnsi="Arial" w:eastAsia="宋体" w:cs="Arial"/>
                <w:kern w:val="0"/>
                <w:szCs w:val="21"/>
                <w:lang w:val="en-US" w:eastAsia="zh-CN"/>
              </w:rPr>
            </w:pPr>
            <w:r>
              <w:rPr>
                <w:rFonts w:hint="eastAsia" w:ascii="Arial" w:hAnsi="Arial" w:cs="Arial"/>
                <w:kern w:val="0"/>
                <w:szCs w:val="21"/>
                <w:lang w:val="en-US" w:eastAsia="zh-CN"/>
              </w:rPr>
              <w:t>2722.29m²</w:t>
            </w:r>
          </w:p>
        </w:tc>
        <w:tc>
          <w:tcPr>
            <w:tcW w:w="861" w:type="dxa"/>
            <w:tcBorders>
              <w:top w:val="double" w:color="auto" w:sz="6" w:space="0"/>
              <w:bottom w:val="single" w:color="auto" w:sz="6" w:space="0"/>
            </w:tcBorders>
            <w:noWrap w:val="0"/>
            <w:vAlign w:val="center"/>
          </w:tcPr>
          <w:p>
            <w:pPr>
              <w:keepNext/>
              <w:spacing w:line="360" w:lineRule="auto"/>
              <w:ind w:left="63" w:right="63"/>
              <w:rPr>
                <w:rFonts w:hint="default" w:ascii="Arial" w:hAnsi="Arial" w:eastAsia="宋体" w:cs="Arial"/>
                <w:kern w:val="0"/>
                <w:szCs w:val="21"/>
                <w:lang w:val="en-US" w:eastAsia="zh-CN"/>
              </w:rPr>
            </w:pPr>
            <w:r>
              <w:rPr>
                <w:rFonts w:hint="eastAsia" w:ascii="Arial" w:hAnsi="Arial" w:cs="Arial"/>
                <w:kern w:val="0"/>
                <w:szCs w:val="21"/>
                <w:lang w:val="en-US" w:eastAsia="zh-CN"/>
              </w:rPr>
              <w:t>雨虹</w:t>
            </w:r>
          </w:p>
        </w:tc>
        <w:tc>
          <w:tcPr>
            <w:tcW w:w="1528" w:type="dxa"/>
            <w:tcBorders>
              <w:top w:val="double" w:color="auto" w:sz="6" w:space="0"/>
              <w:bottom w:val="single" w:color="auto" w:sz="6" w:space="0"/>
            </w:tcBorders>
            <w:noWrap w:val="0"/>
            <w:vAlign w:val="center"/>
          </w:tcPr>
          <w:p>
            <w:pPr>
              <w:keepNext/>
              <w:spacing w:line="360" w:lineRule="auto"/>
              <w:ind w:left="63" w:right="63"/>
              <w:rPr>
                <w:rFonts w:hint="eastAsia" w:ascii="Arial" w:hAnsi="Arial" w:eastAsia="宋体" w:cs="Arial"/>
                <w:kern w:val="0"/>
                <w:szCs w:val="21"/>
                <w:lang w:eastAsia="zh-CN"/>
              </w:rPr>
            </w:pPr>
            <w:r>
              <w:rPr>
                <w:rFonts w:hint="eastAsia" w:ascii="Arial" w:hAnsi="Arial" w:cs="Arial"/>
                <w:kern w:val="0"/>
                <w:szCs w:val="21"/>
                <w:lang w:eastAsia="zh-CN"/>
              </w:rPr>
              <w:t>河南东方雨虹建筑材料有限公司</w:t>
            </w:r>
          </w:p>
        </w:tc>
        <w:tc>
          <w:tcPr>
            <w:tcW w:w="1485" w:type="dxa"/>
            <w:tcBorders>
              <w:top w:val="double" w:color="auto" w:sz="6" w:space="0"/>
              <w:bottom w:val="single" w:color="auto" w:sz="6" w:space="0"/>
            </w:tcBorders>
            <w:noWrap w:val="0"/>
            <w:vAlign w:val="center"/>
          </w:tcPr>
          <w:p>
            <w:pPr>
              <w:keepNext/>
              <w:spacing w:line="360" w:lineRule="auto"/>
              <w:ind w:left="63" w:right="63"/>
              <w:rPr>
                <w:rFonts w:hint="eastAsia" w:ascii="Arial" w:hAnsi="Arial" w:eastAsia="宋体" w:cs="Arial"/>
                <w:kern w:val="0"/>
                <w:szCs w:val="21"/>
                <w:lang w:eastAsia="zh-CN"/>
              </w:rPr>
            </w:pPr>
            <w:r>
              <w:rPr>
                <w:rFonts w:hint="eastAsia" w:ascii="Arial" w:hAnsi="Arial" w:cs="Arial"/>
                <w:kern w:val="0"/>
                <w:szCs w:val="21"/>
                <w:lang w:eastAsia="zh-CN"/>
              </w:rPr>
              <w:t>濮阳</w:t>
            </w:r>
          </w:p>
        </w:tc>
        <w:tc>
          <w:tcPr>
            <w:tcW w:w="895" w:type="dxa"/>
            <w:tcBorders>
              <w:top w:val="double" w:color="auto" w:sz="6" w:space="0"/>
              <w:bottom w:val="single" w:color="auto" w:sz="6" w:space="0"/>
            </w:tcBorders>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360" w:lineRule="auto"/>
              <w:ind w:left="63" w:right="63"/>
              <w:rPr>
                <w:rFonts w:hint="eastAsia" w:ascii="Arial" w:hAnsi="Arial" w:eastAsia="宋体" w:cs="Arial"/>
                <w:kern w:val="0"/>
                <w:szCs w:val="21"/>
                <w:lang w:val="en-US" w:eastAsia="zh-CN"/>
              </w:rPr>
            </w:pPr>
            <w:r>
              <w:rPr>
                <w:rFonts w:hint="eastAsia" w:ascii="Arial" w:hAnsi="Arial" w:cs="Arial"/>
                <w:kern w:val="0"/>
                <w:szCs w:val="21"/>
                <w:lang w:val="en-US" w:eastAsia="zh-CN"/>
              </w:rPr>
              <w:t>2</w:t>
            </w:r>
          </w:p>
        </w:tc>
        <w:tc>
          <w:tcPr>
            <w:tcW w:w="1102" w:type="dxa"/>
            <w:tcBorders>
              <w:top w:val="nil"/>
            </w:tcBorders>
            <w:noWrap w:val="0"/>
            <w:vAlign w:val="center"/>
          </w:tcPr>
          <w:p>
            <w:pPr>
              <w:keepNext/>
              <w:spacing w:line="360" w:lineRule="auto"/>
              <w:ind w:left="63" w:right="63"/>
              <w:rPr>
                <w:rFonts w:hint="eastAsia" w:ascii="Arial" w:hAnsi="Arial" w:eastAsia="宋体" w:cs="Arial"/>
                <w:kern w:val="0"/>
                <w:szCs w:val="21"/>
                <w:lang w:eastAsia="zh-CN"/>
              </w:rPr>
            </w:pPr>
            <w:r>
              <w:rPr>
                <w:rFonts w:hint="eastAsia" w:ascii="Arial" w:hAnsi="Arial" w:cs="Arial"/>
                <w:kern w:val="0"/>
                <w:szCs w:val="21"/>
                <w:lang w:eastAsia="zh-CN"/>
              </w:rPr>
              <w:t>防水涂料</w:t>
            </w:r>
          </w:p>
        </w:tc>
        <w:tc>
          <w:tcPr>
            <w:tcW w:w="1365" w:type="dxa"/>
            <w:tcBorders>
              <w:top w:val="nil"/>
            </w:tcBorders>
            <w:noWrap w:val="0"/>
            <w:vAlign w:val="center"/>
          </w:tcPr>
          <w:p>
            <w:pPr>
              <w:keepNext/>
              <w:spacing w:line="360" w:lineRule="auto"/>
              <w:ind w:left="63" w:right="63"/>
              <w:rPr>
                <w:rFonts w:hint="default" w:ascii="Arial" w:hAnsi="Arial" w:eastAsia="宋体" w:cs="Arial"/>
                <w:kern w:val="0"/>
                <w:szCs w:val="21"/>
                <w:lang w:val="en-US" w:eastAsia="zh-CN"/>
              </w:rPr>
            </w:pPr>
            <w:r>
              <w:rPr>
                <w:rFonts w:hint="eastAsia" w:ascii="Arial" w:hAnsi="Arial" w:cs="Arial"/>
                <w:kern w:val="0"/>
                <w:szCs w:val="21"/>
                <w:lang w:val="en-US" w:eastAsia="zh-CN"/>
              </w:rPr>
              <w:t>PBC328非固化</w:t>
            </w:r>
          </w:p>
        </w:tc>
        <w:tc>
          <w:tcPr>
            <w:tcW w:w="1344" w:type="dxa"/>
            <w:tcBorders>
              <w:top w:val="nil"/>
            </w:tcBorders>
            <w:noWrap w:val="0"/>
            <w:vAlign w:val="center"/>
          </w:tcPr>
          <w:p>
            <w:pPr>
              <w:keepNext/>
              <w:spacing w:line="360" w:lineRule="auto"/>
              <w:ind w:left="63" w:right="63"/>
              <w:rPr>
                <w:rFonts w:hint="default" w:ascii="Arial" w:hAnsi="Arial" w:eastAsia="宋体" w:cs="Arial"/>
                <w:kern w:val="0"/>
                <w:szCs w:val="21"/>
                <w:lang w:val="en-US" w:eastAsia="zh-CN"/>
              </w:rPr>
            </w:pPr>
            <w:r>
              <w:rPr>
                <w:rFonts w:hint="eastAsia" w:ascii="Arial" w:hAnsi="Arial" w:cs="Arial"/>
                <w:kern w:val="0"/>
                <w:szCs w:val="21"/>
                <w:lang w:val="en-US" w:eastAsia="zh-CN"/>
              </w:rPr>
              <w:t>6252.11kg</w:t>
            </w:r>
          </w:p>
        </w:tc>
        <w:tc>
          <w:tcPr>
            <w:tcW w:w="861" w:type="dxa"/>
            <w:tcBorders>
              <w:top w:val="nil"/>
            </w:tcBorders>
            <w:noWrap w:val="0"/>
            <w:vAlign w:val="center"/>
          </w:tcPr>
          <w:p>
            <w:pPr>
              <w:keepNext/>
              <w:spacing w:line="360" w:lineRule="auto"/>
              <w:ind w:left="63" w:right="63"/>
              <w:rPr>
                <w:rFonts w:ascii="Arial" w:hAnsi="Arial" w:eastAsia="Times New Roman" w:cs="Arial"/>
                <w:kern w:val="0"/>
                <w:szCs w:val="21"/>
              </w:rPr>
            </w:pPr>
            <w:r>
              <w:rPr>
                <w:rFonts w:hint="eastAsia" w:ascii="Arial" w:hAnsi="Arial" w:cs="Arial"/>
                <w:kern w:val="0"/>
                <w:szCs w:val="21"/>
                <w:lang w:val="en-US" w:eastAsia="zh-CN"/>
              </w:rPr>
              <w:t>雨虹</w:t>
            </w:r>
          </w:p>
        </w:tc>
        <w:tc>
          <w:tcPr>
            <w:tcW w:w="1528" w:type="dxa"/>
            <w:tcBorders>
              <w:top w:val="nil"/>
            </w:tcBorders>
            <w:noWrap w:val="0"/>
            <w:vAlign w:val="center"/>
          </w:tcPr>
          <w:p>
            <w:pPr>
              <w:keepNext/>
              <w:spacing w:line="360" w:lineRule="auto"/>
              <w:ind w:left="63" w:right="63"/>
              <w:rPr>
                <w:rFonts w:ascii="Arial" w:hAnsi="Arial" w:eastAsia="Times New Roman" w:cs="Arial"/>
                <w:kern w:val="0"/>
                <w:szCs w:val="21"/>
              </w:rPr>
            </w:pPr>
            <w:r>
              <w:rPr>
                <w:rFonts w:hint="eastAsia" w:ascii="Arial" w:hAnsi="Arial" w:cs="Arial"/>
                <w:kern w:val="0"/>
                <w:szCs w:val="21"/>
                <w:lang w:eastAsia="zh-CN"/>
              </w:rPr>
              <w:t>河南东方雨虹建筑材料有限公司</w:t>
            </w:r>
          </w:p>
        </w:tc>
        <w:tc>
          <w:tcPr>
            <w:tcW w:w="1485" w:type="dxa"/>
            <w:tcBorders>
              <w:top w:val="nil"/>
            </w:tcBorders>
            <w:noWrap w:val="0"/>
            <w:vAlign w:val="center"/>
          </w:tcPr>
          <w:p>
            <w:pPr>
              <w:keepNext/>
              <w:spacing w:line="360" w:lineRule="auto"/>
              <w:ind w:left="63" w:right="63"/>
              <w:rPr>
                <w:rFonts w:ascii="Arial" w:hAnsi="Arial" w:eastAsia="Times New Roman" w:cs="Arial"/>
                <w:kern w:val="0"/>
                <w:szCs w:val="21"/>
              </w:rPr>
            </w:pPr>
            <w:r>
              <w:rPr>
                <w:rFonts w:hint="eastAsia" w:ascii="Arial" w:hAnsi="Arial" w:cs="Arial"/>
                <w:kern w:val="0"/>
                <w:szCs w:val="21"/>
                <w:lang w:eastAsia="zh-CN"/>
              </w:rPr>
              <w:t>濮阳</w:t>
            </w:r>
          </w:p>
        </w:tc>
        <w:tc>
          <w:tcPr>
            <w:tcW w:w="895" w:type="dxa"/>
            <w:tcBorders>
              <w:top w:val="nil"/>
            </w:tcBorders>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1102"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1365"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1344"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861"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1528"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1485" w:type="dxa"/>
            <w:tcBorders>
              <w:top w:val="nil"/>
            </w:tcBorders>
            <w:noWrap w:val="0"/>
            <w:vAlign w:val="center"/>
          </w:tcPr>
          <w:p>
            <w:pPr>
              <w:keepNext/>
              <w:spacing w:line="360" w:lineRule="auto"/>
              <w:ind w:left="63" w:right="63"/>
              <w:rPr>
                <w:rFonts w:ascii="Arial" w:hAnsi="Arial" w:eastAsia="Times New Roman" w:cs="Arial"/>
                <w:kern w:val="0"/>
                <w:szCs w:val="21"/>
              </w:rPr>
            </w:pPr>
          </w:p>
        </w:tc>
        <w:tc>
          <w:tcPr>
            <w:tcW w:w="895" w:type="dxa"/>
            <w:tcBorders>
              <w:top w:val="nil"/>
            </w:tcBorders>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360" w:lineRule="auto"/>
              <w:ind w:left="63" w:right="63"/>
              <w:rPr>
                <w:rFonts w:ascii="Arial" w:hAnsi="Arial" w:eastAsia="Times New Roman" w:cs="Arial"/>
                <w:kern w:val="0"/>
                <w:szCs w:val="21"/>
              </w:rPr>
            </w:pPr>
          </w:p>
        </w:tc>
        <w:tc>
          <w:tcPr>
            <w:tcW w:w="1102" w:type="dxa"/>
            <w:noWrap w:val="0"/>
            <w:vAlign w:val="center"/>
          </w:tcPr>
          <w:p>
            <w:pPr>
              <w:keepNext/>
              <w:spacing w:line="360" w:lineRule="auto"/>
              <w:ind w:left="63" w:right="63"/>
              <w:rPr>
                <w:rFonts w:ascii="Arial" w:hAnsi="Arial" w:eastAsia="Times New Roman" w:cs="Arial"/>
                <w:kern w:val="0"/>
                <w:szCs w:val="21"/>
              </w:rPr>
            </w:pPr>
          </w:p>
        </w:tc>
        <w:tc>
          <w:tcPr>
            <w:tcW w:w="1365" w:type="dxa"/>
            <w:noWrap w:val="0"/>
            <w:vAlign w:val="center"/>
          </w:tcPr>
          <w:p>
            <w:pPr>
              <w:keepNext/>
              <w:spacing w:line="360" w:lineRule="auto"/>
              <w:ind w:left="63" w:right="63"/>
              <w:rPr>
                <w:rFonts w:ascii="Arial" w:hAnsi="Arial" w:eastAsia="Times New Roman" w:cs="Arial"/>
                <w:kern w:val="0"/>
                <w:szCs w:val="21"/>
              </w:rPr>
            </w:pPr>
          </w:p>
        </w:tc>
        <w:tc>
          <w:tcPr>
            <w:tcW w:w="1344" w:type="dxa"/>
            <w:noWrap w:val="0"/>
            <w:vAlign w:val="center"/>
          </w:tcPr>
          <w:p>
            <w:pPr>
              <w:keepNext/>
              <w:spacing w:line="360" w:lineRule="auto"/>
              <w:ind w:left="63" w:right="63"/>
              <w:rPr>
                <w:rFonts w:ascii="Arial" w:hAnsi="Arial" w:eastAsia="Times New Roman" w:cs="Arial"/>
                <w:kern w:val="0"/>
                <w:szCs w:val="21"/>
              </w:rPr>
            </w:pPr>
          </w:p>
        </w:tc>
        <w:tc>
          <w:tcPr>
            <w:tcW w:w="861" w:type="dxa"/>
            <w:noWrap w:val="0"/>
            <w:vAlign w:val="center"/>
          </w:tcPr>
          <w:p>
            <w:pPr>
              <w:keepNext/>
              <w:spacing w:line="360" w:lineRule="auto"/>
              <w:ind w:left="63" w:right="63"/>
              <w:rPr>
                <w:rFonts w:ascii="Arial" w:hAnsi="Arial" w:eastAsia="Times New Roman" w:cs="Arial"/>
                <w:kern w:val="0"/>
                <w:szCs w:val="21"/>
              </w:rPr>
            </w:pPr>
          </w:p>
        </w:tc>
        <w:tc>
          <w:tcPr>
            <w:tcW w:w="1528" w:type="dxa"/>
            <w:noWrap w:val="0"/>
            <w:vAlign w:val="center"/>
          </w:tcPr>
          <w:p>
            <w:pPr>
              <w:keepNext/>
              <w:spacing w:line="360" w:lineRule="auto"/>
              <w:ind w:left="63" w:right="63"/>
              <w:rPr>
                <w:rFonts w:ascii="Arial" w:hAnsi="Arial" w:eastAsia="Times New Roman" w:cs="Arial"/>
                <w:kern w:val="0"/>
                <w:szCs w:val="21"/>
              </w:rPr>
            </w:pPr>
          </w:p>
        </w:tc>
        <w:tc>
          <w:tcPr>
            <w:tcW w:w="1485" w:type="dxa"/>
            <w:noWrap w:val="0"/>
            <w:vAlign w:val="center"/>
          </w:tcPr>
          <w:p>
            <w:pPr>
              <w:keepNext/>
              <w:spacing w:line="360" w:lineRule="auto"/>
              <w:ind w:left="63" w:right="63"/>
              <w:rPr>
                <w:rFonts w:ascii="Arial" w:hAnsi="Arial" w:eastAsia="Times New Roman" w:cs="Arial"/>
                <w:kern w:val="0"/>
                <w:szCs w:val="21"/>
              </w:rPr>
            </w:pPr>
          </w:p>
        </w:tc>
        <w:tc>
          <w:tcPr>
            <w:tcW w:w="895" w:type="dxa"/>
            <w:noWrap w:val="0"/>
            <w:vAlign w:val="center"/>
          </w:tcPr>
          <w:p>
            <w:pPr>
              <w:keepNext/>
              <w:spacing w:line="360" w:lineRule="auto"/>
              <w:ind w:left="63" w:right="63"/>
              <w:rPr>
                <w:rFonts w:ascii="Arial" w:hAnsi="Arial" w:eastAsia="Times New Roman" w:cs="Arial"/>
                <w:kern w:val="0"/>
                <w:szCs w:val="21"/>
              </w:rPr>
            </w:pPr>
          </w:p>
        </w:tc>
      </w:tr>
    </w:tbl>
    <w:p>
      <w:pPr>
        <w:spacing w:line="360" w:lineRule="auto"/>
        <w:rPr>
          <w:rFonts w:ascii="Arial" w:hAnsi="Arial" w:cs="Arial"/>
          <w:sz w:val="28"/>
          <w:szCs w:val="28"/>
        </w:rPr>
      </w:pPr>
      <w:r>
        <w:rPr>
          <w:rFonts w:ascii="Arial" w:hAnsi="Arial" w:cs="Arial"/>
          <w:sz w:val="28"/>
          <w:szCs w:val="28"/>
        </w:rPr>
        <w:t>备注：1、材料选用应为国产或合资中高档及以上。</w:t>
      </w:r>
    </w:p>
    <w:p>
      <w:pPr>
        <w:spacing w:line="360" w:lineRule="auto"/>
        <w:rPr>
          <w:rFonts w:ascii="Arial" w:hAnsi="Arial" w:cs="Arial"/>
          <w:sz w:val="28"/>
          <w:szCs w:val="28"/>
        </w:rPr>
      </w:pPr>
      <w:r>
        <w:rPr>
          <w:rFonts w:ascii="Arial" w:hAnsi="Arial" w:cs="Arial"/>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ascii="宋体" w:hAnsi="宋体" w:cs="宋体"/>
          <w:szCs w:val="21"/>
        </w:rPr>
      </w:pPr>
    </w:p>
    <w:p>
      <w:pPr>
        <w:rPr>
          <w:rFonts w:ascii="宋体" w:hAnsi="宋体" w:cs="宋体"/>
          <w:szCs w:val="21"/>
        </w:rPr>
      </w:pPr>
      <w:r>
        <w:rPr>
          <w:rFonts w:hint="eastAsia"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ascii="宋体" w:hAnsi="宋体" w:cs="宋体"/>
          <w:sz w:val="30"/>
          <w:szCs w:val="30"/>
        </w:rPr>
      </w:pPr>
      <w:r>
        <w:rPr>
          <w:rFonts w:hint="eastAsia" w:ascii="宋体" w:hAnsi="宋体" w:cs="宋体"/>
          <w:sz w:val="30"/>
          <w:szCs w:val="30"/>
        </w:rPr>
        <w:t>承包人主要施工管理人员表</w:t>
      </w:r>
    </w:p>
    <w:p/>
    <w:p>
      <w:pPr>
        <w:widowControl/>
        <w:jc w:val="left"/>
        <w:rPr>
          <w:rFonts w:ascii="宋体" w:hAnsi="宋体" w:cs="宋体"/>
          <w:szCs w:val="21"/>
        </w:rPr>
      </w:pPr>
    </w:p>
    <w:p>
      <w:pPr>
        <w:spacing w:line="440" w:lineRule="exact"/>
        <w:rPr>
          <w:rFonts w:hint="eastAsia" w:ascii="宋体" w:hAnsi="宋体" w:eastAsia="宋体" w:cs="宋体"/>
          <w:szCs w:val="21"/>
          <w:lang w:eastAsia="zh-CN"/>
        </w:rPr>
      </w:pPr>
    </w:p>
    <w:p>
      <w:pPr>
        <w:rPr>
          <w:rFonts w:ascii="宋体" w:hAnsi="宋体" w:cs="宋体"/>
          <w:szCs w:val="21"/>
        </w:rPr>
      </w:pPr>
      <w:r>
        <w:rPr>
          <w:rFonts w:hint="eastAsia" w:ascii="宋体" w:hAnsi="宋体" w:eastAsia="宋体" w:cs="宋体"/>
          <w:szCs w:val="21"/>
          <w:lang w:eastAsia="zh-CN"/>
        </w:rPr>
        <w:drawing>
          <wp:inline distT="0" distB="0" distL="114300" distR="114300">
            <wp:extent cx="5268595" cy="3998595"/>
            <wp:effectExtent l="0" t="0" r="8255" b="1905"/>
            <wp:docPr id="1" name="图片 1" descr="1645088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5088278(1)"/>
                    <pic:cNvPicPr>
                      <a:picLocks noChangeAspect="1"/>
                    </pic:cNvPicPr>
                  </pic:nvPicPr>
                  <pic:blipFill>
                    <a:blip r:embed="rId10"/>
                    <a:stretch>
                      <a:fillRect/>
                    </a:stretch>
                  </pic:blipFill>
                  <pic:spPr>
                    <a:xfrm>
                      <a:off x="0" y="0"/>
                      <a:ext cx="5268595" cy="3998595"/>
                    </a:xfrm>
                    <a:prstGeom prst="rect">
                      <a:avLst/>
                    </a:prstGeom>
                  </pic:spPr>
                </pic:pic>
              </a:graphicData>
            </a:graphic>
          </wp:inline>
        </w:drawing>
      </w:r>
    </w:p>
    <w:p>
      <w:pPr>
        <w:rPr>
          <w:rFonts w:hint="eastAsia"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984" w:type="dxa"/>
            <w:tcBorders>
              <w:top w:val="double" w:color="auto" w:sz="6" w:space="0"/>
              <w:bottom w:val="single" w:color="auto" w:sz="6" w:space="0"/>
            </w:tcBorders>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85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774"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352"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418"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70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tcPr>
          <w:p>
            <w:pPr>
              <w:keepNext/>
              <w:spacing w:line="0" w:lineRule="atLeast"/>
              <w:rPr>
                <w:rFonts w:ascii="宋体" w:hAnsi="宋体" w:eastAsia="Times New Roman" w:cs="宋体"/>
                <w:kern w:val="0"/>
                <w:szCs w:val="21"/>
              </w:rPr>
            </w:pPr>
          </w:p>
        </w:tc>
        <w:tc>
          <w:tcPr>
            <w:tcW w:w="1984" w:type="dxa"/>
            <w:tcBorders>
              <w:top w:val="nil"/>
            </w:tcBorders>
          </w:tcPr>
          <w:p>
            <w:pPr>
              <w:keepNext/>
              <w:spacing w:line="0" w:lineRule="atLeast"/>
              <w:rPr>
                <w:rFonts w:ascii="宋体" w:hAnsi="宋体" w:eastAsia="Times New Roman" w:cs="宋体"/>
                <w:kern w:val="0"/>
                <w:szCs w:val="21"/>
              </w:rPr>
            </w:pPr>
          </w:p>
        </w:tc>
        <w:tc>
          <w:tcPr>
            <w:tcW w:w="851" w:type="dxa"/>
            <w:tcBorders>
              <w:top w:val="nil"/>
            </w:tcBorders>
          </w:tcPr>
          <w:p>
            <w:pPr>
              <w:keepNext/>
              <w:spacing w:line="0" w:lineRule="atLeast"/>
              <w:rPr>
                <w:rFonts w:ascii="宋体" w:hAnsi="宋体" w:eastAsia="Times New Roman" w:cs="宋体"/>
                <w:kern w:val="0"/>
                <w:szCs w:val="21"/>
              </w:rPr>
            </w:pPr>
          </w:p>
        </w:tc>
        <w:tc>
          <w:tcPr>
            <w:tcW w:w="774" w:type="dxa"/>
            <w:tcBorders>
              <w:top w:val="nil"/>
            </w:tcBorders>
          </w:tcPr>
          <w:p>
            <w:pPr>
              <w:keepNext/>
              <w:spacing w:line="0" w:lineRule="atLeast"/>
              <w:rPr>
                <w:rFonts w:ascii="宋体" w:hAnsi="宋体" w:eastAsia="Times New Roman" w:cs="宋体"/>
                <w:kern w:val="0"/>
                <w:szCs w:val="21"/>
              </w:rPr>
            </w:pPr>
          </w:p>
        </w:tc>
        <w:tc>
          <w:tcPr>
            <w:tcW w:w="1352" w:type="dxa"/>
            <w:tcBorders>
              <w:top w:val="nil"/>
            </w:tcBorders>
          </w:tcPr>
          <w:p>
            <w:pPr>
              <w:keepNext/>
              <w:spacing w:line="0" w:lineRule="atLeast"/>
              <w:rPr>
                <w:rFonts w:ascii="宋体" w:hAnsi="宋体" w:eastAsia="Times New Roman" w:cs="宋体"/>
                <w:kern w:val="0"/>
                <w:szCs w:val="21"/>
              </w:rPr>
            </w:pPr>
          </w:p>
        </w:tc>
        <w:tc>
          <w:tcPr>
            <w:tcW w:w="1418" w:type="dxa"/>
            <w:tcBorders>
              <w:top w:val="nil"/>
            </w:tcBorders>
          </w:tcPr>
          <w:p>
            <w:pPr>
              <w:keepNext/>
              <w:spacing w:line="0" w:lineRule="atLeast"/>
              <w:rPr>
                <w:rFonts w:ascii="宋体" w:hAnsi="宋体" w:eastAsia="Times New Roman" w:cs="宋体"/>
                <w:kern w:val="0"/>
                <w:szCs w:val="21"/>
              </w:rPr>
            </w:pPr>
          </w:p>
        </w:tc>
        <w:tc>
          <w:tcPr>
            <w:tcW w:w="1701" w:type="dxa"/>
            <w:tcBorders>
              <w:top w:val="nil"/>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19"/>
      </w:pPr>
    </w:p>
    <w:p>
      <w:pPr>
        <w:pStyle w:val="19"/>
      </w:pPr>
    </w:p>
    <w:p>
      <w:pPr>
        <w:pStyle w:val="19"/>
      </w:pPr>
    </w:p>
    <w:p>
      <w:pPr>
        <w:pStyle w:val="3"/>
        <w:spacing w:line="240" w:lineRule="atLeast"/>
        <w:ind w:left="0"/>
        <w:rPr>
          <w:rFonts w:hint="eastAsia" w:cs="Times New Roman"/>
          <w:sz w:val="32"/>
          <w:szCs w:val="32"/>
          <w:lang w:val="en-US"/>
        </w:rPr>
      </w:pPr>
      <w:bookmarkStart w:id="431" w:name="_Toc1358"/>
      <w:r>
        <w:rPr>
          <w:rFonts w:hint="eastAsia" w:cs="Times New Roman"/>
          <w:sz w:val="32"/>
          <w:szCs w:val="32"/>
          <w:lang w:val="en-US"/>
        </w:rPr>
        <w:t xml:space="preserve"> 技术标准和要求</w:t>
      </w:r>
      <w:bookmarkEnd w:id="431"/>
    </w:p>
    <w:p>
      <w:pPr>
        <w:spacing w:line="360" w:lineRule="auto"/>
        <w:ind w:firstLine="422" w:firstLineChars="200"/>
        <w:rPr>
          <w:rFonts w:hint="eastAsia" w:ascii="Arial" w:hAnsi="宋体" w:cs="Arial"/>
          <w:b/>
          <w:bCs/>
          <w:szCs w:val="21"/>
        </w:rPr>
      </w:pPr>
      <w:r>
        <w:rPr>
          <w:rFonts w:hint="eastAsia" w:ascii="Arial" w:hAnsi="宋体" w:cs="Arial"/>
          <w:b/>
          <w:bCs/>
          <w:szCs w:val="21"/>
        </w:rPr>
        <w:t>一、设计、施工依据</w:t>
      </w:r>
    </w:p>
    <w:p>
      <w:pPr>
        <w:spacing w:line="360" w:lineRule="auto"/>
        <w:ind w:firstLine="420" w:firstLineChars="200"/>
        <w:rPr>
          <w:rFonts w:hint="eastAsia" w:ascii="Arial" w:hAnsi="宋体" w:cs="Arial"/>
          <w:bCs/>
          <w:szCs w:val="21"/>
        </w:rPr>
      </w:pPr>
      <w:r>
        <w:rPr>
          <w:rFonts w:hint="eastAsia" w:ascii="Arial" w:hAnsi="宋体" w:cs="Arial"/>
          <w:bCs/>
          <w:szCs w:val="21"/>
        </w:rPr>
        <w:t>本项目应严格按照国家和河南省的有关标准、规范进行施工、质量检查、隐蔽工程验收、材料检测及工程验收。包括但不限于下列与建设工程有关之规范及标准：</w:t>
      </w:r>
    </w:p>
    <w:p>
      <w:pPr>
        <w:spacing w:line="360" w:lineRule="auto"/>
        <w:ind w:firstLine="420" w:firstLineChars="200"/>
        <w:rPr>
          <w:rFonts w:hint="eastAsia" w:ascii="Arial" w:hAnsi="宋体" w:cs="Arial"/>
          <w:bCs/>
          <w:szCs w:val="21"/>
        </w:rPr>
      </w:pPr>
      <w:r>
        <w:rPr>
          <w:rFonts w:hint="eastAsia" w:ascii="Arial" w:hAnsi="宋体" w:cs="Arial"/>
          <w:bCs/>
          <w:szCs w:val="21"/>
        </w:rPr>
        <w:t>《屋面工程质量验收规范》GB 50207-2012</w:t>
      </w:r>
    </w:p>
    <w:p>
      <w:pPr>
        <w:spacing w:line="360" w:lineRule="auto"/>
        <w:ind w:firstLine="420" w:firstLineChars="200"/>
        <w:rPr>
          <w:rFonts w:hint="eastAsia" w:ascii="Arial" w:hAnsi="宋体" w:cs="Arial"/>
          <w:bCs/>
          <w:szCs w:val="21"/>
        </w:rPr>
      </w:pPr>
      <w:r>
        <w:rPr>
          <w:rFonts w:hint="eastAsia" w:ascii="Arial" w:hAnsi="宋体" w:cs="Arial"/>
          <w:bCs/>
          <w:szCs w:val="21"/>
        </w:rPr>
        <w:t>《建筑工程施工质量验收统一标准》GB 50300-2013</w:t>
      </w:r>
    </w:p>
    <w:p>
      <w:pPr>
        <w:spacing w:line="360" w:lineRule="auto"/>
        <w:ind w:firstLine="420" w:firstLineChars="200"/>
        <w:rPr>
          <w:rFonts w:hint="eastAsia" w:ascii="Arial" w:hAnsi="宋体" w:cs="Arial"/>
          <w:bCs/>
          <w:szCs w:val="21"/>
        </w:rPr>
      </w:pPr>
      <w:r>
        <w:rPr>
          <w:rFonts w:hint="eastAsia" w:ascii="Arial" w:hAnsi="宋体" w:cs="Arial"/>
          <w:bCs/>
          <w:szCs w:val="21"/>
        </w:rPr>
        <w:t>《建筑设计防火规范》GB 50016-2018</w:t>
      </w:r>
    </w:p>
    <w:p>
      <w:pPr>
        <w:spacing w:line="360" w:lineRule="auto"/>
        <w:ind w:firstLine="420" w:firstLineChars="200"/>
        <w:rPr>
          <w:rFonts w:hint="eastAsia" w:ascii="Arial" w:hAnsi="宋体" w:cs="Arial"/>
          <w:bCs/>
          <w:szCs w:val="21"/>
        </w:rPr>
      </w:pPr>
      <w:r>
        <w:rPr>
          <w:rFonts w:hint="eastAsia" w:ascii="Arial" w:hAnsi="宋体" w:cs="Arial"/>
          <w:bCs/>
          <w:szCs w:val="21"/>
        </w:rPr>
        <w:t xml:space="preserve">《弹性体改性沥青防水卷材》GB 18242-2008 </w:t>
      </w:r>
    </w:p>
    <w:p>
      <w:pPr>
        <w:spacing w:line="360" w:lineRule="auto"/>
        <w:ind w:firstLine="420" w:firstLineChars="200"/>
        <w:rPr>
          <w:rFonts w:hint="eastAsia" w:ascii="Arial" w:hAnsi="宋体" w:cs="Arial"/>
          <w:bCs/>
          <w:szCs w:val="21"/>
        </w:rPr>
      </w:pPr>
      <w:r>
        <w:rPr>
          <w:rFonts w:hint="eastAsia" w:ascii="Arial" w:hAnsi="宋体" w:cs="Arial"/>
          <w:bCs/>
          <w:szCs w:val="21"/>
        </w:rPr>
        <w:t xml:space="preserve">《自粘聚合物改性沥青防水卷材》GB/T23441-2009 </w:t>
      </w:r>
    </w:p>
    <w:p>
      <w:pPr>
        <w:spacing w:line="360" w:lineRule="auto"/>
        <w:ind w:firstLine="420" w:firstLineChars="200"/>
        <w:rPr>
          <w:rFonts w:hint="eastAsia" w:ascii="Arial" w:hAnsi="宋体" w:cs="Arial"/>
          <w:bCs/>
          <w:szCs w:val="21"/>
        </w:rPr>
      </w:pPr>
      <w:r>
        <w:rPr>
          <w:rFonts w:hint="eastAsia" w:ascii="Arial" w:hAnsi="宋体" w:cs="Arial"/>
          <w:bCs/>
          <w:szCs w:val="21"/>
        </w:rPr>
        <w:t xml:space="preserve"> 《非固化橡胶沥青防水涂料》JC/T2216-2014</w:t>
      </w:r>
    </w:p>
    <w:p>
      <w:pPr>
        <w:spacing w:line="360" w:lineRule="auto"/>
        <w:ind w:firstLine="420" w:firstLineChars="200"/>
        <w:rPr>
          <w:rFonts w:hint="eastAsia" w:ascii="Arial" w:hAnsi="宋体" w:cs="Arial"/>
          <w:bCs/>
          <w:szCs w:val="21"/>
        </w:rPr>
      </w:pPr>
      <w:r>
        <w:rPr>
          <w:rFonts w:hint="eastAsia" w:ascii="Arial" w:hAnsi="宋体" w:cs="Arial"/>
          <w:bCs/>
          <w:szCs w:val="21"/>
        </w:rPr>
        <w:t>《泡沫混凝土应用技术规程》JGJ/T341-2014</w:t>
      </w:r>
    </w:p>
    <w:p>
      <w:pPr>
        <w:spacing w:line="360" w:lineRule="auto"/>
        <w:ind w:firstLine="420" w:firstLineChars="200"/>
        <w:rPr>
          <w:rFonts w:hint="eastAsia" w:ascii="Arial" w:hAnsi="宋体" w:cs="Arial"/>
          <w:bCs/>
          <w:szCs w:val="21"/>
        </w:rPr>
      </w:pPr>
      <w:r>
        <w:rPr>
          <w:rFonts w:hint="eastAsia" w:ascii="Arial" w:hAnsi="宋体" w:cs="Arial"/>
          <w:bCs/>
          <w:szCs w:val="21"/>
        </w:rPr>
        <w:t>注：以上技术规范要求提出的是最低限度的技术要求，本技术要求所使用的标准如与投标人所执行的标准水平不一致时，按较高标准执行。未尽事宜应按照现行国家相关的技术规范执行。</w:t>
      </w:r>
    </w:p>
    <w:p>
      <w:pPr>
        <w:spacing w:line="360" w:lineRule="auto"/>
        <w:ind w:firstLine="422" w:firstLineChars="200"/>
        <w:rPr>
          <w:rFonts w:ascii="Arial" w:hAnsi="宋体" w:cs="Arial"/>
          <w:b/>
          <w:bCs/>
          <w:szCs w:val="21"/>
        </w:rPr>
      </w:pPr>
    </w:p>
    <w:p>
      <w:pPr>
        <w:spacing w:line="360" w:lineRule="auto"/>
        <w:ind w:firstLine="422" w:firstLineChars="200"/>
        <w:rPr>
          <w:rFonts w:hint="eastAsia" w:ascii="Arial" w:hAnsi="宋体" w:cs="Arial"/>
          <w:b/>
          <w:bCs/>
          <w:szCs w:val="21"/>
        </w:rPr>
      </w:pPr>
      <w:r>
        <w:rPr>
          <w:rFonts w:hint="eastAsia" w:ascii="Arial" w:hAnsi="宋体" w:cs="Arial"/>
          <w:b/>
          <w:bCs/>
          <w:szCs w:val="21"/>
        </w:rPr>
        <w:t>二、构造做法</w:t>
      </w:r>
    </w:p>
    <w:p>
      <w:pPr>
        <w:spacing w:line="360" w:lineRule="auto"/>
        <w:ind w:firstLine="420" w:firstLineChars="200"/>
        <w:rPr>
          <w:rFonts w:hint="eastAsia" w:ascii="Arial" w:hAnsi="宋体" w:cs="Arial"/>
          <w:bCs/>
          <w:szCs w:val="21"/>
        </w:rPr>
      </w:pPr>
      <w:r>
        <w:rPr>
          <w:rFonts w:hint="eastAsia" w:ascii="Arial" w:hAnsi="宋体" w:cs="Arial"/>
          <w:bCs/>
          <w:szCs w:val="21"/>
        </w:rPr>
        <w:t>1．屋一（非上人屋面，从上到下）</w:t>
      </w:r>
    </w:p>
    <w:p>
      <w:pPr>
        <w:spacing w:line="360" w:lineRule="auto"/>
        <w:ind w:firstLine="420" w:firstLineChars="200"/>
        <w:rPr>
          <w:rFonts w:hint="eastAsia" w:ascii="Arial" w:hAnsi="宋体" w:cs="Arial"/>
          <w:bCs/>
          <w:szCs w:val="21"/>
        </w:rPr>
      </w:pPr>
      <w:r>
        <w:rPr>
          <w:rFonts w:hint="eastAsia" w:ascii="Arial" w:hAnsi="宋体" w:cs="Arial"/>
          <w:bCs/>
          <w:szCs w:val="21"/>
        </w:rPr>
        <w:t>（1）3.0mm厚聚酯胎改性沥青防水卷材带页岩：按规范设置防水附加层；上翻至女儿墙上不少于500mm高，用金属压条固定并用建筑密封膏封严；如有突出屋面管道、设备基础等构筑物，至少上翻300mm包裹严密。</w:t>
      </w:r>
    </w:p>
    <w:p>
      <w:pPr>
        <w:spacing w:line="360" w:lineRule="auto"/>
        <w:ind w:firstLine="420" w:firstLineChars="200"/>
        <w:rPr>
          <w:rFonts w:hint="eastAsia" w:ascii="Arial" w:hAnsi="宋体" w:cs="Arial"/>
          <w:bCs/>
          <w:szCs w:val="21"/>
        </w:rPr>
      </w:pPr>
      <w:r>
        <w:rPr>
          <w:rFonts w:hint="eastAsia" w:ascii="Arial" w:hAnsi="宋体" w:cs="Arial"/>
          <w:bCs/>
          <w:szCs w:val="21"/>
        </w:rPr>
        <w:t>（2）2.0mm厚橡胶沥青防水涂料：清理基层，水平涂刷并沿墙面上翻300mm。</w:t>
      </w:r>
    </w:p>
    <w:p>
      <w:pPr>
        <w:spacing w:line="360" w:lineRule="auto"/>
        <w:ind w:firstLine="420" w:firstLineChars="200"/>
        <w:rPr>
          <w:rFonts w:hint="eastAsia" w:ascii="Arial" w:hAnsi="宋体" w:cs="Arial"/>
          <w:bCs/>
          <w:szCs w:val="21"/>
        </w:rPr>
      </w:pPr>
      <w:r>
        <w:rPr>
          <w:rFonts w:hint="eastAsia" w:ascii="Arial" w:hAnsi="宋体" w:cs="Arial"/>
          <w:bCs/>
          <w:szCs w:val="21"/>
        </w:rPr>
        <w:t>（3）30mm厚C30细石混凝土找平层：间距不大于6m设分隔缝，覆膜养护不少于7天。</w:t>
      </w:r>
    </w:p>
    <w:p>
      <w:pPr>
        <w:spacing w:line="360" w:lineRule="auto"/>
        <w:ind w:firstLine="420" w:firstLineChars="200"/>
        <w:rPr>
          <w:rFonts w:hint="eastAsia" w:ascii="Arial" w:hAnsi="宋体" w:cs="Arial"/>
          <w:bCs/>
          <w:szCs w:val="21"/>
        </w:rPr>
      </w:pPr>
      <w:r>
        <w:rPr>
          <w:rFonts w:hint="eastAsia" w:ascii="Arial" w:hAnsi="宋体" w:cs="Arial"/>
          <w:bCs/>
          <w:szCs w:val="21"/>
        </w:rPr>
        <w:t>（4）原现浇钢筋混凝土屋面板及保温层。打磨除尘。</w:t>
      </w:r>
    </w:p>
    <w:p>
      <w:pPr>
        <w:spacing w:line="360" w:lineRule="auto"/>
        <w:ind w:firstLine="420" w:firstLineChars="200"/>
        <w:rPr>
          <w:rFonts w:hint="eastAsia" w:ascii="Arial" w:hAnsi="宋体" w:cs="Arial"/>
          <w:bCs/>
          <w:szCs w:val="21"/>
        </w:rPr>
      </w:pPr>
      <w:r>
        <w:rPr>
          <w:rFonts w:hint="eastAsia" w:ascii="Arial" w:hAnsi="宋体" w:cs="Arial"/>
          <w:bCs/>
          <w:szCs w:val="21"/>
        </w:rPr>
        <w:t>2．屋二（上人屋面，从上到下）</w:t>
      </w:r>
    </w:p>
    <w:p>
      <w:pPr>
        <w:spacing w:line="360" w:lineRule="auto"/>
        <w:ind w:firstLine="420" w:firstLineChars="200"/>
        <w:rPr>
          <w:rFonts w:hint="eastAsia" w:ascii="Arial" w:hAnsi="宋体" w:cs="Arial"/>
          <w:bCs/>
          <w:szCs w:val="21"/>
        </w:rPr>
      </w:pPr>
      <w:r>
        <w:rPr>
          <w:rFonts w:hint="eastAsia" w:ascii="Arial" w:hAnsi="宋体" w:cs="Arial"/>
          <w:bCs/>
          <w:szCs w:val="21"/>
        </w:rPr>
        <w:t>（1）铺贴30mm厚水泥砖：20mm厚M20干混地面砂浆，铺贴200mm×200mm×30mm水泥砖，纵横不大于10m设分隔缝宽20mm，密封材料嵌填。</w:t>
      </w:r>
    </w:p>
    <w:p>
      <w:pPr>
        <w:spacing w:line="360" w:lineRule="auto"/>
        <w:ind w:firstLine="420" w:firstLineChars="200"/>
        <w:rPr>
          <w:rFonts w:hint="eastAsia" w:ascii="Arial" w:hAnsi="宋体" w:cs="Arial"/>
          <w:bCs/>
          <w:szCs w:val="21"/>
        </w:rPr>
      </w:pPr>
      <w:r>
        <w:rPr>
          <w:rFonts w:hint="eastAsia" w:ascii="Arial" w:hAnsi="宋体" w:cs="Arial"/>
          <w:bCs/>
          <w:szCs w:val="21"/>
        </w:rPr>
        <w:t>（2）30mmC30细石混凝土找平层：间距不大于6m设分隔缝，覆膜养护不少于7天。</w:t>
      </w:r>
    </w:p>
    <w:p>
      <w:pPr>
        <w:spacing w:line="360" w:lineRule="auto"/>
        <w:ind w:firstLine="420" w:firstLineChars="200"/>
        <w:rPr>
          <w:rFonts w:hint="eastAsia" w:ascii="Arial" w:hAnsi="宋体" w:cs="Arial"/>
          <w:bCs/>
          <w:szCs w:val="21"/>
        </w:rPr>
      </w:pPr>
      <w:r>
        <w:rPr>
          <w:rFonts w:hint="eastAsia" w:ascii="Arial" w:hAnsi="宋体" w:cs="Arial"/>
          <w:bCs/>
          <w:szCs w:val="21"/>
        </w:rPr>
        <w:t>（3）聚酯无纺布：水平面干铺，200g/m²，搭接宽度不小于50mm，平整无皱折。</w:t>
      </w:r>
    </w:p>
    <w:p>
      <w:pPr>
        <w:spacing w:line="360" w:lineRule="auto"/>
        <w:ind w:firstLine="420" w:firstLineChars="200"/>
        <w:rPr>
          <w:rFonts w:hint="eastAsia" w:ascii="Arial" w:hAnsi="宋体" w:cs="Arial"/>
          <w:bCs/>
          <w:szCs w:val="21"/>
        </w:rPr>
      </w:pPr>
      <w:r>
        <w:rPr>
          <w:rFonts w:hint="eastAsia" w:ascii="Arial" w:hAnsi="宋体" w:cs="Arial"/>
          <w:bCs/>
          <w:szCs w:val="21"/>
        </w:rPr>
        <w:t>（4）2.0mm厚双面自粘防水卷材（符合GB/T23441-2009中N类Ⅱ型技术指标）：按规范设置防水附加层；上翻至女儿墙上不少于500mm高，用金属压条固定并用建筑密封膏封严；如有突出屋面管道、设备基础等构筑物，至少上翻300mm包裹严密。</w:t>
      </w:r>
    </w:p>
    <w:p>
      <w:pPr>
        <w:spacing w:line="360" w:lineRule="auto"/>
        <w:ind w:firstLine="420" w:firstLineChars="200"/>
        <w:rPr>
          <w:rFonts w:hint="eastAsia" w:ascii="Arial" w:hAnsi="宋体" w:cs="Arial"/>
          <w:bCs/>
          <w:szCs w:val="21"/>
        </w:rPr>
      </w:pPr>
      <w:r>
        <w:rPr>
          <w:rFonts w:hint="eastAsia" w:ascii="Arial" w:hAnsi="宋体" w:cs="Arial"/>
          <w:bCs/>
          <w:szCs w:val="21"/>
        </w:rPr>
        <w:t>（5）2.0mm厚橡胶沥青防水涂料：清理基层，水平涂刷并沿墙面上翻300mm。</w:t>
      </w:r>
    </w:p>
    <w:p>
      <w:pPr>
        <w:spacing w:line="360" w:lineRule="auto"/>
        <w:ind w:firstLine="420" w:firstLineChars="200"/>
        <w:rPr>
          <w:rFonts w:hint="eastAsia" w:ascii="Arial" w:hAnsi="宋体" w:cs="Arial"/>
          <w:bCs/>
          <w:szCs w:val="21"/>
        </w:rPr>
      </w:pPr>
      <w:r>
        <w:rPr>
          <w:rFonts w:hint="eastAsia" w:ascii="Arial" w:hAnsi="宋体" w:cs="Arial"/>
          <w:bCs/>
          <w:szCs w:val="21"/>
        </w:rPr>
        <w:t>（6）30mmC30细石混凝土找平层：间距不大于6m设分隔缝，覆膜养护不少于7天。</w:t>
      </w:r>
    </w:p>
    <w:p>
      <w:pPr>
        <w:spacing w:line="360" w:lineRule="auto"/>
        <w:ind w:firstLine="420" w:firstLineChars="200"/>
        <w:rPr>
          <w:rFonts w:hint="eastAsia" w:ascii="Arial" w:hAnsi="宋体" w:cs="Arial"/>
          <w:bCs/>
          <w:szCs w:val="21"/>
        </w:rPr>
      </w:pPr>
      <w:r>
        <w:rPr>
          <w:rFonts w:hint="eastAsia" w:ascii="Arial" w:hAnsi="宋体" w:cs="Arial"/>
          <w:bCs/>
          <w:szCs w:val="21"/>
        </w:rPr>
        <w:t>（7）60mm厚（最薄处）现浇泡沫混凝土保温层找坡2%；强度等级FC5.0、密度等级A06泡沫混凝土。</w:t>
      </w:r>
    </w:p>
    <w:p>
      <w:pPr>
        <w:spacing w:line="360" w:lineRule="auto"/>
        <w:ind w:firstLine="420" w:firstLineChars="200"/>
        <w:rPr>
          <w:rFonts w:hint="eastAsia" w:ascii="Arial" w:hAnsi="宋体" w:cs="Arial"/>
          <w:bCs/>
          <w:szCs w:val="21"/>
        </w:rPr>
      </w:pPr>
      <w:r>
        <w:rPr>
          <w:rFonts w:hint="eastAsia" w:ascii="Arial" w:hAnsi="宋体" w:cs="Arial"/>
          <w:bCs/>
          <w:szCs w:val="21"/>
        </w:rPr>
        <w:t>（8）原现浇钢筋混凝土屋面板，打磨除尘，板缝处理。</w:t>
      </w:r>
    </w:p>
    <w:p>
      <w:pPr>
        <w:spacing w:line="360" w:lineRule="auto"/>
        <w:ind w:firstLine="420" w:firstLineChars="200"/>
        <w:rPr>
          <w:rFonts w:hint="eastAsia" w:ascii="Arial" w:hAnsi="宋体" w:cs="Arial"/>
          <w:bCs/>
          <w:szCs w:val="21"/>
        </w:rPr>
      </w:pPr>
      <w:r>
        <w:rPr>
          <w:rFonts w:hint="eastAsia" w:ascii="Arial" w:hAnsi="宋体" w:cs="Arial"/>
          <w:bCs/>
          <w:szCs w:val="21"/>
        </w:rPr>
        <w:t>3．墙面防水施工工序</w:t>
      </w:r>
    </w:p>
    <w:p>
      <w:pPr>
        <w:spacing w:line="360" w:lineRule="auto"/>
        <w:ind w:firstLine="420" w:firstLineChars="200"/>
        <w:rPr>
          <w:rFonts w:hint="eastAsia" w:ascii="Arial" w:hAnsi="宋体" w:cs="Arial"/>
          <w:bCs/>
          <w:szCs w:val="21"/>
        </w:rPr>
      </w:pPr>
      <w:r>
        <w:rPr>
          <w:rFonts w:hint="eastAsia" w:ascii="Arial" w:hAnsi="宋体" w:cs="Arial"/>
          <w:bCs/>
          <w:szCs w:val="21"/>
        </w:rPr>
        <w:t>（1）基面清洗，用清洁剂、钢丝刷、抹布等尽可能将墙面基层清洗干净，但不破坏原来面层光泽。</w:t>
      </w:r>
    </w:p>
    <w:p>
      <w:pPr>
        <w:spacing w:line="360" w:lineRule="auto"/>
        <w:ind w:firstLine="420" w:firstLineChars="200"/>
        <w:rPr>
          <w:rFonts w:hint="eastAsia" w:ascii="Arial" w:hAnsi="宋体" w:cs="Arial"/>
          <w:bCs/>
          <w:szCs w:val="21"/>
        </w:rPr>
      </w:pPr>
      <w:r>
        <w:rPr>
          <w:rFonts w:hint="eastAsia" w:ascii="Arial" w:hAnsi="宋体" w:cs="Arial"/>
          <w:bCs/>
          <w:szCs w:val="21"/>
        </w:rPr>
        <w:t>（2）局部裂缝压密注浆或防水砂浆或密封胶处理。</w:t>
      </w:r>
    </w:p>
    <w:p>
      <w:pPr>
        <w:spacing w:line="360" w:lineRule="auto"/>
        <w:ind w:firstLine="420" w:firstLineChars="200"/>
        <w:rPr>
          <w:rFonts w:hint="eastAsia" w:ascii="Arial" w:hAnsi="宋体" w:cs="Arial"/>
          <w:bCs/>
          <w:szCs w:val="21"/>
        </w:rPr>
      </w:pPr>
      <w:r>
        <w:rPr>
          <w:rFonts w:hint="eastAsia" w:ascii="Arial" w:hAnsi="宋体" w:cs="Arial"/>
          <w:bCs/>
          <w:szCs w:val="21"/>
        </w:rPr>
        <w:t>（3）涂刷无色透明防水涂料，涂刷前保证基层干燥无积水，先涂刷砖缝，再大面涂刷3遍防水涂料，涂刷时要注意前一遍涂层干固后再涂后一遍，涂刷方向纵横交错。</w:t>
      </w:r>
    </w:p>
    <w:p>
      <w:pPr>
        <w:spacing w:line="360" w:lineRule="auto"/>
        <w:ind w:firstLine="422" w:firstLineChars="200"/>
        <w:rPr>
          <w:rFonts w:ascii="Arial" w:hAnsi="宋体" w:cs="Arial"/>
          <w:b/>
          <w:bCs/>
          <w:szCs w:val="21"/>
        </w:rPr>
      </w:pPr>
    </w:p>
    <w:p>
      <w:pPr>
        <w:spacing w:line="360" w:lineRule="auto"/>
        <w:ind w:firstLine="422" w:firstLineChars="200"/>
        <w:rPr>
          <w:rFonts w:hint="eastAsia" w:ascii="Arial" w:hAnsi="宋体" w:cs="Arial"/>
          <w:b/>
          <w:bCs/>
          <w:szCs w:val="21"/>
        </w:rPr>
      </w:pPr>
      <w:r>
        <w:rPr>
          <w:rFonts w:hint="eastAsia" w:ascii="Arial" w:hAnsi="宋体" w:cs="Arial"/>
          <w:b/>
          <w:bCs/>
          <w:szCs w:val="21"/>
        </w:rPr>
        <w:t>三、施工要求：</w:t>
      </w:r>
    </w:p>
    <w:p>
      <w:pPr>
        <w:spacing w:line="360" w:lineRule="auto"/>
        <w:ind w:firstLine="420" w:firstLineChars="200"/>
        <w:rPr>
          <w:rFonts w:hint="eastAsia" w:ascii="Arial" w:hAnsi="宋体" w:cs="Arial"/>
          <w:bCs/>
          <w:szCs w:val="21"/>
        </w:rPr>
      </w:pPr>
      <w:r>
        <w:rPr>
          <w:rFonts w:hint="eastAsia" w:ascii="Arial" w:hAnsi="宋体" w:cs="Arial"/>
          <w:bCs/>
          <w:szCs w:val="21"/>
        </w:rPr>
        <w:t>1．原屋面保温层、防水层及找平层等拆除时，必须轻拿轻放，缓慢拆除，严禁用大锤、冲击钻等工具，以免产生过大震动和冲击荷载而导致屋面结构损伤。拆除后的垃圾要随拆随运，严禁集中堆放，以免局部荷载过大而造成结构损伤或破坏。</w:t>
      </w:r>
    </w:p>
    <w:p>
      <w:pPr>
        <w:spacing w:line="360" w:lineRule="auto"/>
        <w:ind w:firstLine="420" w:firstLineChars="200"/>
        <w:rPr>
          <w:rFonts w:hint="eastAsia" w:ascii="Arial" w:hAnsi="宋体" w:cs="Arial"/>
          <w:bCs/>
          <w:szCs w:val="21"/>
        </w:rPr>
      </w:pPr>
      <w:r>
        <w:rPr>
          <w:rFonts w:hint="eastAsia" w:ascii="Arial" w:hAnsi="宋体" w:cs="Arial"/>
          <w:bCs/>
          <w:szCs w:val="21"/>
        </w:rPr>
        <w:t>2．原屋面拆除至结构楼板后，需清理干净；原结构板和女儿墙的裂缝需作相应技术处理。</w:t>
      </w:r>
    </w:p>
    <w:p>
      <w:pPr>
        <w:spacing w:line="360" w:lineRule="auto"/>
        <w:ind w:firstLine="420" w:firstLineChars="200"/>
        <w:rPr>
          <w:rFonts w:hint="eastAsia" w:ascii="Arial" w:hAnsi="宋体" w:cs="Arial"/>
          <w:bCs/>
          <w:szCs w:val="21"/>
        </w:rPr>
      </w:pPr>
      <w:r>
        <w:rPr>
          <w:rFonts w:hint="eastAsia" w:ascii="Arial" w:hAnsi="宋体" w:cs="Arial"/>
          <w:bCs/>
          <w:szCs w:val="21"/>
        </w:rPr>
        <w:t>3．防水施工工序：加热非固化橡胶沥青防水涂料——基层清理——基层处理——阴阳角等节点部位施工防水附加层——试铺自粘防水卷材——施工非固化橡胶沥青防水涂料——铺贴防水卷材——卷材塔接——检查验收</w:t>
      </w:r>
    </w:p>
    <w:p>
      <w:pPr>
        <w:spacing w:line="360" w:lineRule="auto"/>
        <w:ind w:firstLine="420" w:firstLineChars="200"/>
        <w:rPr>
          <w:rFonts w:hint="eastAsia" w:ascii="Arial" w:hAnsi="宋体" w:cs="Arial"/>
          <w:bCs/>
          <w:szCs w:val="21"/>
        </w:rPr>
      </w:pPr>
      <w:r>
        <w:rPr>
          <w:rFonts w:hint="eastAsia" w:ascii="Arial" w:hAnsi="宋体" w:cs="Arial"/>
          <w:bCs/>
          <w:szCs w:val="21"/>
        </w:rPr>
        <w:t>a)</w:t>
      </w:r>
      <w:r>
        <w:rPr>
          <w:rFonts w:hint="eastAsia" w:ascii="Arial" w:hAnsi="宋体" w:cs="Arial"/>
          <w:bCs/>
          <w:szCs w:val="21"/>
        </w:rPr>
        <w:tab/>
      </w:r>
      <w:r>
        <w:rPr>
          <w:rFonts w:hint="eastAsia" w:ascii="Arial" w:hAnsi="宋体" w:cs="Arial"/>
          <w:bCs/>
          <w:szCs w:val="21"/>
        </w:rPr>
        <w:t>基层要求:清除基层表面杂物、油污、砂子等，清扫工作必须在施工中随时进行。基面大面干燥（含水率≤9％）(底板施工时，无明水即可）、坚实、平整、光滑，平整度符合规范要求。阴阳角均应做成圆角或钝角。</w:t>
      </w:r>
    </w:p>
    <w:p>
      <w:pPr>
        <w:spacing w:line="360" w:lineRule="auto"/>
        <w:ind w:firstLine="420" w:firstLineChars="200"/>
        <w:rPr>
          <w:rFonts w:hint="eastAsia" w:ascii="Arial" w:hAnsi="宋体" w:cs="Arial"/>
          <w:bCs/>
          <w:szCs w:val="21"/>
        </w:rPr>
      </w:pPr>
      <w:r>
        <w:rPr>
          <w:rFonts w:hint="eastAsia" w:ascii="Arial" w:hAnsi="宋体" w:cs="Arial"/>
          <w:bCs/>
          <w:szCs w:val="21"/>
        </w:rPr>
        <w:t>b)</w:t>
      </w:r>
      <w:r>
        <w:rPr>
          <w:rFonts w:hint="eastAsia" w:ascii="Arial" w:hAnsi="宋体" w:cs="Arial"/>
          <w:bCs/>
          <w:szCs w:val="21"/>
        </w:rPr>
        <w:tab/>
      </w:r>
      <w:r>
        <w:rPr>
          <w:rFonts w:hint="eastAsia" w:ascii="Arial" w:hAnsi="宋体" w:cs="Arial"/>
          <w:bCs/>
          <w:szCs w:val="21"/>
        </w:rPr>
        <w:t>用锯齿板把加热完毕的非固化橡胶沥青涂料，均匀的涂刮在基层上，不露底，一遍成型达到2.0mm厚。</w:t>
      </w:r>
    </w:p>
    <w:p>
      <w:pPr>
        <w:spacing w:line="360" w:lineRule="auto"/>
        <w:ind w:firstLine="420" w:firstLineChars="200"/>
        <w:rPr>
          <w:rFonts w:hint="eastAsia" w:ascii="Arial" w:hAnsi="宋体" w:cs="Arial"/>
          <w:bCs/>
          <w:szCs w:val="21"/>
        </w:rPr>
      </w:pPr>
      <w:r>
        <w:rPr>
          <w:rFonts w:hint="eastAsia" w:ascii="Arial" w:hAnsi="宋体" w:cs="Arial"/>
          <w:bCs/>
          <w:szCs w:val="21"/>
        </w:rPr>
        <w:t>4．浇筑泡沫混凝土前须充分洒水湿润，但不得有积水现象。泡沫混凝土层的主要作用为找平、找坡、保温，为此要求浇筑前必须先设置灰饼和冲筋，灰饼和冲筋的标高要求用水准仪进行精确控制，以确保泡沫混凝土的平整度和坡度；泡沫混凝土应符合《泡沫混凝土应用技术规程》（JGJ/T341-2014）要求，泡沫混凝土要求随打随压实抹平，养护不少于7天。</w:t>
      </w:r>
    </w:p>
    <w:p>
      <w:pPr>
        <w:spacing w:line="360" w:lineRule="auto"/>
        <w:ind w:firstLine="420" w:firstLineChars="200"/>
        <w:rPr>
          <w:rFonts w:hint="eastAsia" w:ascii="Arial" w:hAnsi="宋体" w:cs="Arial"/>
          <w:bCs/>
          <w:szCs w:val="21"/>
        </w:rPr>
      </w:pPr>
      <w:r>
        <w:rPr>
          <w:rFonts w:hint="eastAsia" w:ascii="Arial" w:hAnsi="宋体" w:cs="Arial"/>
          <w:bCs/>
          <w:szCs w:val="21"/>
        </w:rPr>
        <w:t>5．细部构造做法是该屋面做法中的重要技术环节，将直接影响到屋面的保温性能和耐久性，施工中需按照现行相关规范（标准）进行施工和验收板下向外排水通畅。</w:t>
      </w:r>
    </w:p>
    <w:p>
      <w:pPr>
        <w:spacing w:line="360" w:lineRule="auto"/>
        <w:ind w:firstLine="420" w:firstLineChars="200"/>
        <w:rPr>
          <w:rFonts w:hint="eastAsia" w:ascii="Arial" w:hAnsi="宋体" w:cs="Arial"/>
          <w:bCs/>
          <w:szCs w:val="21"/>
        </w:rPr>
      </w:pPr>
      <w:r>
        <w:rPr>
          <w:rFonts w:hint="eastAsia" w:ascii="Arial" w:hAnsi="宋体" w:cs="Arial"/>
          <w:bCs/>
          <w:szCs w:val="21"/>
        </w:rPr>
        <w:t>6．工程的施工、验收及其他方面的要求，除应按国家现行相关规范要求执行外，每一道工序完成后还须由甲方代表及监理签字认可，方可进行下一道工序。</w:t>
      </w:r>
    </w:p>
    <w:p>
      <w:pPr>
        <w:spacing w:line="360" w:lineRule="auto"/>
        <w:ind w:firstLine="422" w:firstLineChars="200"/>
        <w:rPr>
          <w:rFonts w:ascii="Arial" w:hAnsi="宋体" w:cs="Arial"/>
          <w:b/>
          <w:bCs/>
          <w:szCs w:val="21"/>
        </w:rPr>
      </w:pPr>
    </w:p>
    <w:p>
      <w:pPr>
        <w:spacing w:line="360" w:lineRule="auto"/>
        <w:ind w:firstLine="422" w:firstLineChars="200"/>
        <w:rPr>
          <w:rFonts w:hint="eastAsia" w:ascii="Arial" w:hAnsi="宋体" w:cs="Arial"/>
          <w:b/>
          <w:bCs/>
          <w:szCs w:val="21"/>
        </w:rPr>
      </w:pPr>
      <w:r>
        <w:rPr>
          <w:rFonts w:hint="eastAsia" w:ascii="Arial" w:hAnsi="宋体" w:cs="Arial"/>
          <w:b/>
          <w:bCs/>
          <w:szCs w:val="21"/>
        </w:rPr>
        <w:t>四、材料要求</w:t>
      </w:r>
    </w:p>
    <w:p>
      <w:pPr>
        <w:spacing w:line="360" w:lineRule="auto"/>
        <w:ind w:firstLine="420" w:firstLineChars="200"/>
        <w:rPr>
          <w:rFonts w:hint="eastAsia" w:ascii="Arial" w:hAnsi="宋体" w:cs="Arial"/>
          <w:bCs/>
          <w:szCs w:val="21"/>
        </w:rPr>
      </w:pPr>
      <w:r>
        <w:rPr>
          <w:rFonts w:hint="eastAsia" w:ascii="Arial" w:hAnsi="宋体" w:cs="Arial"/>
          <w:bCs/>
          <w:szCs w:val="21"/>
        </w:rPr>
        <w:t>项目所需主材符合标准要求，提供省级以上检测机构盖章检测报告。承包人在材料设备进场前，应先向发包人提供材料样品或样本，并提前通知发包人和监理方确定，发包人和监理方将对材料设备的质量及档次进行考察确认，只有通过发包人和监理方的确认方可办理材料进场手续；材料进场，由三方共同取样送省级以上检测机构检测。承包人采购不符合国家标准的材料设备，一经发现必须返工，由此造成的损失由承包人承担。</w:t>
      </w:r>
    </w:p>
    <w:p>
      <w:pPr>
        <w:spacing w:line="360" w:lineRule="auto"/>
        <w:ind w:firstLine="422" w:firstLineChars="200"/>
        <w:rPr>
          <w:rFonts w:ascii="Arial" w:hAnsi="Arial" w:cs="Arial"/>
          <w:b/>
          <w:bCs/>
          <w:szCs w:val="21"/>
        </w:rPr>
      </w:pPr>
      <w:r>
        <w:rPr>
          <w:rFonts w:hint="eastAsia" w:ascii="Arial" w:hAnsi="宋体" w:cs="Arial"/>
          <w:b/>
          <w:bCs/>
          <w:szCs w:val="21"/>
        </w:rPr>
        <w:t>注：</w:t>
      </w:r>
      <w:r>
        <w:rPr>
          <w:rFonts w:ascii="Arial" w:hAnsi="宋体" w:cs="Arial"/>
          <w:b/>
          <w:bCs/>
          <w:szCs w:val="21"/>
        </w:rPr>
        <w:t>除非另有说明，本工程适用所有现行有效的相关国家、行业及地方规范、规程和标准。</w:t>
      </w:r>
      <w:r>
        <w:rPr>
          <w:rFonts w:hint="eastAsia" w:ascii="Arial" w:hAnsi="宋体" w:cs="Arial"/>
          <w:b/>
          <w:bCs/>
          <w:szCs w:val="21"/>
        </w:rPr>
        <w:t>文中所</w:t>
      </w:r>
      <w:r>
        <w:rPr>
          <w:rFonts w:ascii="Arial" w:hAnsi="宋体" w:cs="Arial"/>
          <w:b/>
          <w:bCs/>
          <w:szCs w:val="21"/>
        </w:rPr>
        <w:t>述规范、规程和标准均指他们各自的最新版本。如</w:t>
      </w:r>
      <w:r>
        <w:rPr>
          <w:rFonts w:hint="eastAsia" w:ascii="Arial" w:hAnsi="宋体" w:cs="Arial"/>
          <w:b/>
          <w:bCs/>
          <w:szCs w:val="21"/>
        </w:rPr>
        <w:t>文中所</w:t>
      </w:r>
      <w:r>
        <w:rPr>
          <w:rFonts w:ascii="Arial" w:hAnsi="宋体" w:cs="Arial"/>
          <w:b/>
          <w:bCs/>
          <w:szCs w:val="21"/>
        </w:rPr>
        <w:t>述规范、规程和标准之间出现矛盾或与合同其他内容存在不一致，承包人应书面请求发包人澄清，发包人未予澄清者，按其中最高的要求或最严格的标准执行。适用本工程的规范、标准和规程的具体编号和名称则在本</w:t>
      </w:r>
      <w:r>
        <w:rPr>
          <w:rFonts w:hint="eastAsia" w:ascii="Arial" w:hAnsi="宋体" w:cs="Arial"/>
          <w:b/>
          <w:bCs/>
          <w:szCs w:val="21"/>
        </w:rPr>
        <w:t>采购</w:t>
      </w:r>
      <w:r>
        <w:rPr>
          <w:rFonts w:ascii="Arial" w:hAnsi="宋体" w:cs="Arial"/>
          <w:b/>
          <w:bCs/>
          <w:szCs w:val="21"/>
        </w:rPr>
        <w:t>文件中有意空缺，由承包人依据上述原则自行收集。</w:t>
      </w:r>
    </w:p>
    <w:p>
      <w:pPr>
        <w:rPr>
          <w:lang w:val="en-US"/>
        </w:rPr>
      </w:pPr>
      <w:r>
        <w:rPr>
          <w:lang w:val="en-US"/>
        </w:rPr>
        <w:br w:type="page"/>
      </w:r>
    </w:p>
    <w:p>
      <w:pPr>
        <w:pStyle w:val="2"/>
        <w:rPr>
          <w:lang w:val="en-US"/>
        </w:rPr>
      </w:pPr>
      <w:r>
        <w:drawing>
          <wp:inline distT="0" distB="0" distL="114300" distR="114300">
            <wp:extent cx="5262245" cy="743775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2245" cy="743775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38"/>
    <w:rsid w:val="00034642"/>
    <w:rsid w:val="000561C7"/>
    <w:rsid w:val="000840AB"/>
    <w:rsid w:val="000A246D"/>
    <w:rsid w:val="000F6846"/>
    <w:rsid w:val="000F68ED"/>
    <w:rsid w:val="0010431F"/>
    <w:rsid w:val="0011190E"/>
    <w:rsid w:val="001145FC"/>
    <w:rsid w:val="00164C22"/>
    <w:rsid w:val="0018267E"/>
    <w:rsid w:val="001C66B2"/>
    <w:rsid w:val="001C781F"/>
    <w:rsid w:val="002348DB"/>
    <w:rsid w:val="002800E2"/>
    <w:rsid w:val="002D375A"/>
    <w:rsid w:val="00306473"/>
    <w:rsid w:val="00366C45"/>
    <w:rsid w:val="00385F43"/>
    <w:rsid w:val="00393DE2"/>
    <w:rsid w:val="003D21A2"/>
    <w:rsid w:val="00403C48"/>
    <w:rsid w:val="0042020A"/>
    <w:rsid w:val="004458DC"/>
    <w:rsid w:val="004557A1"/>
    <w:rsid w:val="00476CAE"/>
    <w:rsid w:val="004A16AA"/>
    <w:rsid w:val="004C1201"/>
    <w:rsid w:val="004C4F38"/>
    <w:rsid w:val="004C5E17"/>
    <w:rsid w:val="004E5ACA"/>
    <w:rsid w:val="004E5F0D"/>
    <w:rsid w:val="004F72E8"/>
    <w:rsid w:val="00512C44"/>
    <w:rsid w:val="00572FA9"/>
    <w:rsid w:val="00592939"/>
    <w:rsid w:val="005A0A60"/>
    <w:rsid w:val="005B41B6"/>
    <w:rsid w:val="005B5505"/>
    <w:rsid w:val="005C70AD"/>
    <w:rsid w:val="005C70CC"/>
    <w:rsid w:val="005D6A55"/>
    <w:rsid w:val="005E0273"/>
    <w:rsid w:val="005E0454"/>
    <w:rsid w:val="005F77FD"/>
    <w:rsid w:val="006004F5"/>
    <w:rsid w:val="006006A1"/>
    <w:rsid w:val="006053C6"/>
    <w:rsid w:val="00610B4E"/>
    <w:rsid w:val="006203A8"/>
    <w:rsid w:val="00625AD0"/>
    <w:rsid w:val="006659D0"/>
    <w:rsid w:val="00675322"/>
    <w:rsid w:val="00677F06"/>
    <w:rsid w:val="00684B31"/>
    <w:rsid w:val="006A1504"/>
    <w:rsid w:val="006B273E"/>
    <w:rsid w:val="006C13AA"/>
    <w:rsid w:val="006F5578"/>
    <w:rsid w:val="006F73B5"/>
    <w:rsid w:val="007122D3"/>
    <w:rsid w:val="00747C45"/>
    <w:rsid w:val="00785224"/>
    <w:rsid w:val="00793FAE"/>
    <w:rsid w:val="007C7F7E"/>
    <w:rsid w:val="007F4E84"/>
    <w:rsid w:val="00846E98"/>
    <w:rsid w:val="00862CFA"/>
    <w:rsid w:val="00863201"/>
    <w:rsid w:val="008725DD"/>
    <w:rsid w:val="00874BAD"/>
    <w:rsid w:val="00892252"/>
    <w:rsid w:val="008A1B7E"/>
    <w:rsid w:val="009035C2"/>
    <w:rsid w:val="0091659A"/>
    <w:rsid w:val="00933AF5"/>
    <w:rsid w:val="0094628E"/>
    <w:rsid w:val="0095648B"/>
    <w:rsid w:val="00987CCC"/>
    <w:rsid w:val="009A36B5"/>
    <w:rsid w:val="009B04BF"/>
    <w:rsid w:val="009B2328"/>
    <w:rsid w:val="009D058B"/>
    <w:rsid w:val="009D783F"/>
    <w:rsid w:val="009F28B4"/>
    <w:rsid w:val="009F35D8"/>
    <w:rsid w:val="009F652A"/>
    <w:rsid w:val="00A000EA"/>
    <w:rsid w:val="00A03F60"/>
    <w:rsid w:val="00A33222"/>
    <w:rsid w:val="00A339A1"/>
    <w:rsid w:val="00A50C4D"/>
    <w:rsid w:val="00A77BDE"/>
    <w:rsid w:val="00AC324B"/>
    <w:rsid w:val="00AF20F0"/>
    <w:rsid w:val="00B10CA8"/>
    <w:rsid w:val="00B40065"/>
    <w:rsid w:val="00B466E7"/>
    <w:rsid w:val="00B57730"/>
    <w:rsid w:val="00B86927"/>
    <w:rsid w:val="00B91F96"/>
    <w:rsid w:val="00BD6B67"/>
    <w:rsid w:val="00BD6FED"/>
    <w:rsid w:val="00BE0303"/>
    <w:rsid w:val="00BF32FA"/>
    <w:rsid w:val="00BF5CB8"/>
    <w:rsid w:val="00C02E06"/>
    <w:rsid w:val="00C03909"/>
    <w:rsid w:val="00C13C66"/>
    <w:rsid w:val="00C360CB"/>
    <w:rsid w:val="00C3757D"/>
    <w:rsid w:val="00C445D0"/>
    <w:rsid w:val="00C5410B"/>
    <w:rsid w:val="00C66D16"/>
    <w:rsid w:val="00C7239E"/>
    <w:rsid w:val="00C80DDC"/>
    <w:rsid w:val="00CB20D4"/>
    <w:rsid w:val="00D122F3"/>
    <w:rsid w:val="00D54EE1"/>
    <w:rsid w:val="00D60E58"/>
    <w:rsid w:val="00DD53E1"/>
    <w:rsid w:val="00DF462C"/>
    <w:rsid w:val="00E22555"/>
    <w:rsid w:val="00E315BB"/>
    <w:rsid w:val="00E32C58"/>
    <w:rsid w:val="00E45969"/>
    <w:rsid w:val="00E61CC8"/>
    <w:rsid w:val="00E932C1"/>
    <w:rsid w:val="00EA0C9E"/>
    <w:rsid w:val="00EB39C0"/>
    <w:rsid w:val="00EE0363"/>
    <w:rsid w:val="00EF3113"/>
    <w:rsid w:val="00EF3BB6"/>
    <w:rsid w:val="00F14532"/>
    <w:rsid w:val="00F60EB6"/>
    <w:rsid w:val="00F74C95"/>
    <w:rsid w:val="00F817A6"/>
    <w:rsid w:val="00FA624E"/>
    <w:rsid w:val="00FB6AF3"/>
    <w:rsid w:val="00FE3814"/>
    <w:rsid w:val="03FD3149"/>
    <w:rsid w:val="06A43FB4"/>
    <w:rsid w:val="0C263DA4"/>
    <w:rsid w:val="15880C25"/>
    <w:rsid w:val="18046675"/>
    <w:rsid w:val="18F6147F"/>
    <w:rsid w:val="1C1B0B27"/>
    <w:rsid w:val="1F0F260A"/>
    <w:rsid w:val="21C77B15"/>
    <w:rsid w:val="285E3FE4"/>
    <w:rsid w:val="30EA45BE"/>
    <w:rsid w:val="3C326DE4"/>
    <w:rsid w:val="3FA77CD7"/>
    <w:rsid w:val="462F4F0C"/>
    <w:rsid w:val="4E2F2C12"/>
    <w:rsid w:val="507B066E"/>
    <w:rsid w:val="533B09F2"/>
    <w:rsid w:val="56CB31E9"/>
    <w:rsid w:val="575203DB"/>
    <w:rsid w:val="594A2751"/>
    <w:rsid w:val="64CD3B77"/>
    <w:rsid w:val="64D44FF9"/>
    <w:rsid w:val="6620430F"/>
    <w:rsid w:val="6CCB60B7"/>
    <w:rsid w:val="6E716C7B"/>
    <w:rsid w:val="6F052532"/>
    <w:rsid w:val="72EC49DA"/>
    <w:rsid w:val="73F13C23"/>
    <w:rsid w:val="752E035F"/>
    <w:rsid w:val="75AD3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5"/>
    <w:link w:val="24"/>
    <w:qFormat/>
    <w:uiPriority w:val="0"/>
    <w:pPr>
      <w:keepNext/>
      <w:jc w:val="center"/>
      <w:outlineLvl w:val="1"/>
    </w:pPr>
    <w:rPr>
      <w:rFonts w:ascii="楷体_GB2312" w:eastAsia="仿宋_GB2312"/>
      <w:b/>
      <w:sz w:val="32"/>
    </w:rPr>
  </w:style>
  <w:style w:type="paragraph" w:styleId="6">
    <w:name w:val="heading 3"/>
    <w:basedOn w:val="1"/>
    <w:next w:val="1"/>
    <w:link w:val="25"/>
    <w:qFormat/>
    <w:uiPriority w:val="0"/>
    <w:pPr>
      <w:keepNext/>
      <w:keepLines/>
      <w:spacing w:line="360" w:lineRule="auto"/>
      <w:outlineLvl w:val="2"/>
    </w:pPr>
    <w:rPr>
      <w:b/>
      <w:bCs/>
      <w:sz w:val="24"/>
      <w:szCs w:val="32"/>
    </w:rPr>
  </w:style>
  <w:style w:type="paragraph" w:styleId="7">
    <w:name w:val="heading 4"/>
    <w:basedOn w:val="1"/>
    <w:next w:val="1"/>
    <w:link w:val="26"/>
    <w:qFormat/>
    <w:uiPriority w:val="0"/>
    <w:pPr>
      <w:keepNext/>
      <w:keepLines/>
      <w:spacing w:line="360" w:lineRule="auto"/>
      <w:outlineLvl w:val="3"/>
    </w:pPr>
    <w:rPr>
      <w:rFonts w:ascii="Arial" w:hAnsi="Arial"/>
      <w:b/>
      <w:bCs/>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textAlignment w:val="baseline"/>
    </w:pPr>
  </w:style>
  <w:style w:type="paragraph" w:styleId="5">
    <w:name w:val="Normal Indent"/>
    <w:basedOn w:val="1"/>
    <w:next w:val="1"/>
    <w:qFormat/>
    <w:uiPriority w:val="0"/>
    <w:pPr>
      <w:ind w:firstLine="420" w:firstLineChars="200"/>
    </w:pPr>
  </w:style>
  <w:style w:type="paragraph" w:styleId="8">
    <w:name w:val="Body Text"/>
    <w:basedOn w:val="1"/>
    <w:next w:val="9"/>
    <w:link w:val="27"/>
    <w:unhideWhenUsed/>
    <w:qFormat/>
    <w:uiPriority w:val="0"/>
    <w:pPr>
      <w:spacing w:after="120"/>
    </w:pPr>
  </w:style>
  <w:style w:type="paragraph" w:styleId="9">
    <w:name w:val="Body Text 2"/>
    <w:basedOn w:val="1"/>
    <w:qFormat/>
    <w:uiPriority w:val="0"/>
    <w:pPr>
      <w:spacing w:after="120" w:line="480" w:lineRule="auto"/>
    </w:pPr>
  </w:style>
  <w:style w:type="paragraph" w:styleId="10">
    <w:name w:val="toc 3"/>
    <w:basedOn w:val="1"/>
    <w:next w:val="1"/>
    <w:qFormat/>
    <w:uiPriority w:val="39"/>
    <w:pPr>
      <w:ind w:left="840" w:leftChars="400"/>
    </w:pPr>
  </w:style>
  <w:style w:type="paragraph" w:styleId="11">
    <w:name w:val="Balloon Text"/>
    <w:basedOn w:val="1"/>
    <w:link w:val="43"/>
    <w:semiHidden/>
    <w:unhideWhenUsed/>
    <w:qFormat/>
    <w:uiPriority w:val="99"/>
    <w:rPr>
      <w:sz w:val="18"/>
      <w:szCs w:val="18"/>
    </w:rPr>
  </w:style>
  <w:style w:type="paragraph" w:styleId="12">
    <w:name w:val="footer"/>
    <w:basedOn w:val="1"/>
    <w:next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List"/>
    <w:basedOn w:val="1"/>
    <w:qFormat/>
    <w:uiPriority w:val="0"/>
    <w:pPr>
      <w:ind w:left="420" w:hanging="420"/>
    </w:pPr>
    <w:rPr>
      <w:rFonts w:ascii="Calibri" w:hAnsi="Calibri" w:eastAsia="楷体_GB2312"/>
      <w:sz w:val="32"/>
      <w:szCs w:val="20"/>
    </w:rPr>
  </w:style>
  <w:style w:type="paragraph" w:styleId="16">
    <w:name w:val="toc 2"/>
    <w:basedOn w:val="1"/>
    <w:next w:val="1"/>
    <w:qFormat/>
    <w:uiPriority w:val="39"/>
    <w:pPr>
      <w:ind w:left="420" w:leftChars="200"/>
    </w:pPr>
  </w:style>
  <w:style w:type="paragraph" w:styleId="17">
    <w:name w:val="Message Header"/>
    <w:basedOn w:val="1"/>
    <w:next w:val="1"/>
    <w:link w:val="31"/>
    <w:qFormat/>
    <w:uiPriority w:val="0"/>
    <w:pPr>
      <w:shd w:val="pct20" w:color="000000" w:fill="auto"/>
      <w:ind w:firstLine="22"/>
    </w:pPr>
  </w:style>
  <w:style w:type="paragraph" w:styleId="18">
    <w:name w:val="Normal (Web)"/>
    <w:basedOn w:val="1"/>
    <w:next w:val="1"/>
    <w:qFormat/>
    <w:uiPriority w:val="0"/>
    <w:pPr>
      <w:spacing w:before="100" w:beforeAutospacing="1" w:after="100" w:afterAutospacing="1"/>
      <w:jc w:val="left"/>
    </w:pPr>
    <w:rPr>
      <w:kern w:val="0"/>
      <w:sz w:val="24"/>
    </w:rPr>
  </w:style>
  <w:style w:type="paragraph" w:styleId="19">
    <w:name w:val="Body Text First Indent"/>
    <w:basedOn w:val="8"/>
    <w:link w:val="28"/>
    <w:qFormat/>
    <w:uiPriority w:val="0"/>
    <w:pPr>
      <w:ind w:firstLine="420"/>
    </w:pPr>
    <w:rPr>
      <w:sz w:val="32"/>
      <w:szCs w:val="20"/>
    </w:rPr>
  </w:style>
  <w:style w:type="character" w:styleId="22">
    <w:name w:val="page number"/>
    <w:basedOn w:val="21"/>
    <w:qFormat/>
    <w:uiPriority w:val="0"/>
  </w:style>
  <w:style w:type="character" w:customStyle="1" w:styleId="23">
    <w:name w:val="标题 1 Char"/>
    <w:basedOn w:val="21"/>
    <w:link w:val="3"/>
    <w:qFormat/>
    <w:uiPriority w:val="1"/>
    <w:rPr>
      <w:rFonts w:ascii="宋体" w:hAnsi="宋体" w:eastAsia="宋体" w:cs="宋体"/>
      <w:b/>
      <w:bCs/>
      <w:sz w:val="36"/>
      <w:szCs w:val="36"/>
      <w:lang w:val="zh-CN" w:bidi="zh-CN"/>
    </w:rPr>
  </w:style>
  <w:style w:type="character" w:customStyle="1" w:styleId="24">
    <w:name w:val="标题 2 Char"/>
    <w:basedOn w:val="21"/>
    <w:link w:val="4"/>
    <w:qFormat/>
    <w:uiPriority w:val="0"/>
    <w:rPr>
      <w:rFonts w:ascii="楷体_GB2312" w:hAnsi="Times New Roman" w:eastAsia="仿宋_GB2312" w:cs="Times New Roman"/>
      <w:b/>
      <w:sz w:val="32"/>
      <w:szCs w:val="24"/>
    </w:rPr>
  </w:style>
  <w:style w:type="character" w:customStyle="1" w:styleId="25">
    <w:name w:val="标题 3 Char"/>
    <w:basedOn w:val="21"/>
    <w:link w:val="6"/>
    <w:qFormat/>
    <w:uiPriority w:val="0"/>
    <w:rPr>
      <w:rFonts w:ascii="Times New Roman" w:hAnsi="Times New Roman" w:eastAsia="宋体" w:cs="Times New Roman"/>
      <w:b/>
      <w:bCs/>
      <w:sz w:val="24"/>
      <w:szCs w:val="32"/>
    </w:rPr>
  </w:style>
  <w:style w:type="character" w:customStyle="1" w:styleId="26">
    <w:name w:val="标题 4 Char"/>
    <w:basedOn w:val="21"/>
    <w:link w:val="7"/>
    <w:qFormat/>
    <w:uiPriority w:val="0"/>
    <w:rPr>
      <w:rFonts w:ascii="Arial" w:hAnsi="Arial" w:eastAsia="宋体" w:cs="Times New Roman"/>
      <w:b/>
      <w:bCs/>
      <w:szCs w:val="28"/>
    </w:rPr>
  </w:style>
  <w:style w:type="character" w:customStyle="1" w:styleId="27">
    <w:name w:val="正文文本 Char"/>
    <w:basedOn w:val="21"/>
    <w:link w:val="8"/>
    <w:semiHidden/>
    <w:qFormat/>
    <w:uiPriority w:val="99"/>
    <w:rPr>
      <w:rFonts w:ascii="Times New Roman" w:hAnsi="Times New Roman" w:eastAsia="宋体" w:cs="Times New Roman"/>
      <w:szCs w:val="24"/>
    </w:rPr>
  </w:style>
  <w:style w:type="character" w:customStyle="1" w:styleId="28">
    <w:name w:val="正文首行缩进 Char"/>
    <w:basedOn w:val="27"/>
    <w:link w:val="19"/>
    <w:qFormat/>
    <w:uiPriority w:val="0"/>
    <w:rPr>
      <w:sz w:val="32"/>
      <w:szCs w:val="20"/>
    </w:rPr>
  </w:style>
  <w:style w:type="character" w:customStyle="1" w:styleId="29">
    <w:name w:val="页脚 Char"/>
    <w:basedOn w:val="21"/>
    <w:link w:val="12"/>
    <w:qFormat/>
    <w:uiPriority w:val="99"/>
    <w:rPr>
      <w:rFonts w:ascii="Times New Roman" w:hAnsi="Times New Roman" w:eastAsia="宋体" w:cs="Times New Roman"/>
      <w:sz w:val="18"/>
      <w:szCs w:val="18"/>
    </w:rPr>
  </w:style>
  <w:style w:type="character" w:customStyle="1" w:styleId="30">
    <w:name w:val="页眉 Char"/>
    <w:basedOn w:val="21"/>
    <w:link w:val="13"/>
    <w:qFormat/>
    <w:uiPriority w:val="0"/>
    <w:rPr>
      <w:rFonts w:ascii="Times New Roman" w:hAnsi="Times New Roman" w:eastAsia="宋体" w:cs="Times New Roman"/>
      <w:sz w:val="18"/>
      <w:szCs w:val="24"/>
    </w:rPr>
  </w:style>
  <w:style w:type="character" w:customStyle="1" w:styleId="31">
    <w:name w:val="信息标题 Char"/>
    <w:basedOn w:val="21"/>
    <w:link w:val="17"/>
    <w:qFormat/>
    <w:uiPriority w:val="0"/>
    <w:rPr>
      <w:rFonts w:ascii="Times New Roman" w:hAnsi="Times New Roman" w:eastAsia="宋体" w:cs="Times New Roman"/>
      <w:szCs w:val="24"/>
      <w:shd w:val="pct20" w:color="000000" w:fill="auto"/>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正文缩进1"/>
    <w:basedOn w:val="1"/>
    <w:qFormat/>
    <w:uiPriority w:val="0"/>
    <w:pPr>
      <w:ind w:firstLine="420"/>
    </w:pPr>
    <w:rPr>
      <w:szCs w:val="20"/>
    </w:rPr>
  </w:style>
  <w:style w:type="paragraph" w:customStyle="1" w:styleId="34">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5">
    <w:name w:val="正文首行缩进两字符"/>
    <w:basedOn w:val="1"/>
    <w:qFormat/>
    <w:uiPriority w:val="0"/>
    <w:pPr>
      <w:spacing w:line="360" w:lineRule="auto"/>
      <w:ind w:firstLine="200" w:firstLineChars="200"/>
    </w:pPr>
  </w:style>
  <w:style w:type="paragraph" w:customStyle="1" w:styleId="3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7">
    <w:name w:val="Heading #3|1"/>
    <w:basedOn w:val="1"/>
    <w:qFormat/>
    <w:uiPriority w:val="0"/>
    <w:pPr>
      <w:spacing w:line="470" w:lineRule="exact"/>
      <w:outlineLvl w:val="2"/>
    </w:pPr>
    <w:rPr>
      <w:rFonts w:ascii="宋体" w:hAnsi="宋体" w:cs="宋体"/>
      <w:b/>
      <w:bCs/>
      <w:lang w:val="zh-TW" w:eastAsia="zh-TW" w:bidi="zh-TW"/>
    </w:rPr>
  </w:style>
  <w:style w:type="paragraph" w:customStyle="1" w:styleId="38">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39">
    <w:name w:val="Heading #4|1"/>
    <w:basedOn w:val="1"/>
    <w:qFormat/>
    <w:uiPriority w:val="0"/>
    <w:pPr>
      <w:spacing w:line="468" w:lineRule="exact"/>
      <w:outlineLvl w:val="3"/>
    </w:pPr>
    <w:rPr>
      <w:rFonts w:ascii="宋体" w:hAnsi="宋体" w:cs="宋体"/>
      <w:b/>
      <w:bCs/>
      <w:lang w:val="zh-TW" w:eastAsia="zh-TW" w:bidi="zh-TW"/>
    </w:rPr>
  </w:style>
  <w:style w:type="paragraph" w:customStyle="1" w:styleId="40">
    <w:name w:val="Body text|1"/>
    <w:basedOn w:val="1"/>
    <w:qFormat/>
    <w:uiPriority w:val="0"/>
    <w:pPr>
      <w:spacing w:line="413" w:lineRule="auto"/>
      <w:ind w:firstLine="400"/>
    </w:pPr>
    <w:rPr>
      <w:rFonts w:ascii="宋体" w:hAnsi="宋体" w:cs="宋体"/>
      <w:lang w:val="zh-TW" w:eastAsia="zh-TW" w:bidi="zh-TW"/>
    </w:rPr>
  </w:style>
  <w:style w:type="paragraph" w:customStyle="1" w:styleId="41">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2">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3">
    <w:name w:val="批注框文本 Char"/>
    <w:basedOn w:val="21"/>
    <w:link w:val="11"/>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customXml" Target="../customXml/item1.xml"/>
  <Relationship Id="rId13"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2149</Words>
  <Characters>12250</Characters>
  <Lines>102</Lines>
  <Paragraphs>28</Paragraphs>
  <TotalTime>11</TotalTime>
  <ScaleCrop>false</ScaleCrop>
  <LinksUpToDate>false</LinksUpToDate>
  <CharactersWithSpaces>14371</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2022-03-01T09:05:10Z</dcterms:modified>
  <revision>41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3C9CEBB8348941B98D54660C5FC55FD7</vt:lpwstr>
  </property>
</Properties>
</file>