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ind w:firstLine="0"/>
        <w:rPr>
          <w:rFonts w:hint="eastAsia" w:ascii="宋体" w:hAnsi="宋体" w:cs="宋体"/>
          <w:b/>
          <w:bCs/>
          <w:kern w:val="36"/>
          <w:sz w:val="28"/>
          <w:szCs w:val="28"/>
        </w:rPr>
      </w:pPr>
    </w:p>
    <w:p>
      <w:pPr>
        <w:autoSpaceDE w:val="0"/>
        <w:autoSpaceDN w:val="0"/>
        <w:adjustRightInd w:val="0"/>
        <w:ind w:firstLine="480"/>
        <w:jc w:val="center"/>
        <w:rPr>
          <w:rFonts w:ascii="宋体"/>
          <w:b/>
          <w:color w:val="000000"/>
          <w:kern w:val="0"/>
          <w:sz w:val="28"/>
          <w:szCs w:val="28"/>
        </w:rPr>
      </w:pPr>
      <w:r>
        <w:rPr>
          <w:rFonts w:hint="eastAsia" w:ascii="宋体" w:hAnsi="宋体"/>
          <w:sz w:val="28"/>
          <w:szCs w:val="28"/>
        </w:rPr>
        <w:t xml:space="preserve">             </w:t>
      </w:r>
      <w:r>
        <w:rPr>
          <w:rFonts w:hint="eastAsia" w:ascii="宋体" w:hAnsi="宋体"/>
          <w:b/>
          <w:sz w:val="28"/>
          <w:szCs w:val="28"/>
        </w:rPr>
        <w:t>合同编号</w:t>
      </w:r>
      <w:r>
        <w:rPr>
          <w:rFonts w:ascii="宋体" w:hAnsi="宋体"/>
          <w:b/>
          <w:sz w:val="28"/>
          <w:szCs w:val="28"/>
          <w:u w:val="single"/>
        </w:rPr>
        <w:t>：</w:t>
      </w:r>
      <w:r>
        <w:rPr>
          <w:rFonts w:hint="eastAsia" w:ascii="宋体" w:hAnsi="宋体" w:cs="宋体"/>
          <w:b/>
          <w:sz w:val="30"/>
          <w:szCs w:val="28"/>
          <w:u w:val="single"/>
          <w:lang w:eastAsia="zh-CN"/>
        </w:rPr>
        <w:t>豫财磋商采购</w:t>
      </w:r>
      <w:r>
        <w:rPr>
          <w:rFonts w:hint="eastAsia" w:ascii="宋体" w:hAnsi="宋体" w:cs="宋体"/>
          <w:b/>
          <w:sz w:val="30"/>
          <w:szCs w:val="28"/>
          <w:u w:val="single"/>
        </w:rPr>
        <w:t>-2021-1278</w:t>
      </w:r>
      <w:r>
        <w:rPr>
          <w:rFonts w:hint="eastAsia" w:ascii="宋体" w:hAnsi="宋体"/>
          <w:b/>
          <w:sz w:val="28"/>
          <w:szCs w:val="28"/>
          <w:u w:val="single"/>
        </w:rPr>
        <w:t xml:space="preserve"> </w:t>
      </w:r>
    </w:p>
    <w:p>
      <w:pPr>
        <w:autoSpaceDE w:val="0"/>
        <w:autoSpaceDN w:val="0"/>
        <w:adjustRightInd w:val="0"/>
        <w:ind w:firstLine="480"/>
        <w:jc w:val="center"/>
        <w:rPr>
          <w:rFonts w:ascii="宋体"/>
          <w:b/>
          <w:color w:val="000000"/>
          <w:kern w:val="0"/>
          <w:sz w:val="52"/>
          <w:szCs w:val="52"/>
        </w:rPr>
      </w:pPr>
    </w:p>
    <w:p>
      <w:pPr>
        <w:autoSpaceDE w:val="0"/>
        <w:autoSpaceDN w:val="0"/>
        <w:adjustRightInd w:val="0"/>
        <w:ind w:firstLine="480"/>
        <w:jc w:val="center"/>
        <w:rPr>
          <w:rFonts w:ascii="宋体"/>
          <w:b/>
          <w:color w:val="000000"/>
          <w:kern w:val="0"/>
          <w:sz w:val="72"/>
          <w:szCs w:val="72"/>
        </w:rPr>
      </w:pPr>
      <w:r>
        <w:rPr>
          <w:rFonts w:hint="eastAsia" w:ascii="宋体"/>
          <w:b/>
          <w:color w:val="000000"/>
          <w:kern w:val="0"/>
          <w:sz w:val="72"/>
          <w:szCs w:val="72"/>
        </w:rPr>
        <w:t>政府采购施工合同书</w:t>
      </w:r>
    </w:p>
    <w:p>
      <w:pPr>
        <w:autoSpaceDE w:val="0"/>
        <w:autoSpaceDN w:val="0"/>
        <w:adjustRightInd w:val="0"/>
        <w:ind w:firstLine="480"/>
        <w:jc w:val="center"/>
        <w:rPr>
          <w:rFonts w:ascii="宋体" w:hAnsi="宋体"/>
          <w:b/>
          <w:color w:val="000000"/>
          <w:kern w:val="0"/>
          <w:sz w:val="36"/>
          <w:szCs w:val="36"/>
        </w:rPr>
      </w:pPr>
      <w:r>
        <w:rPr>
          <w:rFonts w:hint="eastAsia" w:ascii="宋体" w:hAnsi="宋体"/>
          <w:b/>
          <w:color w:val="000000"/>
          <w:kern w:val="0"/>
          <w:sz w:val="36"/>
          <w:szCs w:val="36"/>
        </w:rPr>
        <w:t>(50万元以上)</w:t>
      </w:r>
    </w:p>
    <w:p>
      <w:pPr>
        <w:autoSpaceDE w:val="0"/>
        <w:autoSpaceDN w:val="0"/>
        <w:adjustRightInd w:val="0"/>
        <w:ind w:firstLine="480"/>
        <w:jc w:val="center"/>
        <w:rPr>
          <w:rFonts w:ascii="宋体"/>
          <w:b/>
          <w:color w:val="000000"/>
          <w:kern w:val="0"/>
          <w:sz w:val="48"/>
          <w:szCs w:val="20"/>
        </w:rPr>
      </w:pPr>
    </w:p>
    <w:p>
      <w:pPr>
        <w:autoSpaceDE w:val="0"/>
        <w:autoSpaceDN w:val="0"/>
        <w:adjustRightInd w:val="0"/>
        <w:ind w:firstLine="480"/>
        <w:jc w:val="left"/>
        <w:rPr>
          <w:rFonts w:ascii="宋体"/>
          <w:color w:val="000000"/>
          <w:kern w:val="0"/>
          <w:sz w:val="28"/>
          <w:szCs w:val="20"/>
        </w:rPr>
      </w:pPr>
    </w:p>
    <w:p>
      <w:pPr>
        <w:autoSpaceDE w:val="0"/>
        <w:autoSpaceDN w:val="0"/>
        <w:adjustRightInd w:val="0"/>
        <w:ind w:firstLine="480"/>
        <w:jc w:val="left"/>
        <w:rPr>
          <w:rFonts w:ascii="宋体"/>
          <w:b/>
          <w:color w:val="000000"/>
          <w:kern w:val="0"/>
          <w:sz w:val="28"/>
          <w:szCs w:val="20"/>
        </w:rPr>
      </w:pPr>
    </w:p>
    <w:p>
      <w:pPr>
        <w:ind w:firstLine="1124" w:firstLineChars="400"/>
        <w:jc w:val="center"/>
        <w:rPr>
          <w:rFonts w:ascii="宋体" w:hAnsi="宋体" w:cs="宋体"/>
          <w:b/>
          <w:sz w:val="30"/>
          <w:szCs w:val="28"/>
          <w:u w:val="single"/>
        </w:rPr>
      </w:pPr>
      <w:r>
        <w:rPr>
          <w:rFonts w:hint="eastAsia" w:ascii="宋体"/>
          <w:b/>
          <w:color w:val="000000"/>
          <w:kern w:val="0"/>
          <w:sz w:val="28"/>
          <w:szCs w:val="20"/>
        </w:rPr>
        <w:t>工程名称：</w:t>
      </w:r>
      <w:r>
        <w:rPr>
          <w:rFonts w:hint="eastAsia" w:ascii="宋体" w:hAnsi="宋体" w:cs="宋体"/>
          <w:b/>
          <w:sz w:val="30"/>
          <w:szCs w:val="28"/>
          <w:u w:val="single"/>
        </w:rPr>
        <w:t>郑州大学后勤管理处东校区学生宿舍</w:t>
      </w:r>
    </w:p>
    <w:p>
      <w:pPr>
        <w:ind w:firstLine="3000" w:firstLineChars="996"/>
        <w:rPr>
          <w:rFonts w:ascii="宋体"/>
          <w:b/>
          <w:color w:val="000000"/>
          <w:kern w:val="0"/>
          <w:sz w:val="28"/>
          <w:szCs w:val="20"/>
          <w:u w:val="single"/>
        </w:rPr>
      </w:pPr>
      <w:r>
        <w:rPr>
          <w:rFonts w:hint="eastAsia" w:ascii="宋体" w:hAnsi="宋体" w:cs="宋体"/>
          <w:b/>
          <w:sz w:val="30"/>
          <w:szCs w:val="28"/>
          <w:u w:val="single"/>
        </w:rPr>
        <w:t>6、7号楼维修改造工程</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工程地址：</w:t>
      </w:r>
      <w:r>
        <w:rPr>
          <w:rFonts w:hint="eastAsia" w:ascii="宋体"/>
          <w:b/>
          <w:color w:val="000000"/>
          <w:kern w:val="0"/>
          <w:sz w:val="28"/>
          <w:szCs w:val="20"/>
          <w:u w:val="single"/>
        </w:rPr>
        <w:t xml:space="preserve">         郑州大学东校区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工程造价：</w:t>
      </w:r>
      <w:r>
        <w:rPr>
          <w:rFonts w:hint="eastAsia" w:ascii="宋体"/>
          <w:b/>
          <w:color w:val="000000"/>
          <w:kern w:val="0"/>
          <w:sz w:val="28"/>
          <w:szCs w:val="20"/>
          <w:u w:val="single"/>
        </w:rPr>
        <w:t xml:space="preserve">          2497000元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发 包 人：</w:t>
      </w:r>
      <w:r>
        <w:rPr>
          <w:rFonts w:hint="eastAsia" w:ascii="宋体"/>
          <w:b/>
          <w:color w:val="000000"/>
          <w:kern w:val="0"/>
          <w:sz w:val="28"/>
          <w:szCs w:val="20"/>
          <w:u w:val="single"/>
        </w:rPr>
        <w:t xml:space="preserve">           郑州大学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承 包 人：</w:t>
      </w:r>
      <w:r>
        <w:rPr>
          <w:rFonts w:hint="eastAsia" w:ascii="宋体" w:hAnsi="宋体" w:cs="宋体"/>
          <w:b/>
          <w:sz w:val="30"/>
          <w:szCs w:val="28"/>
          <w:u w:val="single"/>
        </w:rPr>
        <w:t xml:space="preserve">    河南新隆建工集团有限公司    </w:t>
      </w: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center"/>
        <w:rPr>
          <w:rFonts w:hint="eastAsia" w:ascii="宋体" w:hAnsi="宋体"/>
          <w:b/>
          <w:sz w:val="28"/>
          <w:szCs w:val="20"/>
          <w:lang w:val="zh-CN"/>
        </w:rPr>
      </w:pPr>
      <w:r>
        <w:rPr>
          <w:rFonts w:hint="eastAsia" w:ascii="宋体" w:hAnsi="宋体"/>
          <w:b/>
          <w:sz w:val="28"/>
          <w:szCs w:val="20"/>
          <w:lang w:val="zh-CN"/>
        </w:rPr>
        <w:t xml:space="preserve">    </w:t>
      </w:r>
    </w:p>
    <w:p>
      <w:pPr>
        <w:autoSpaceDE w:val="0"/>
        <w:autoSpaceDN w:val="0"/>
        <w:adjustRightInd w:val="0"/>
        <w:ind w:firstLine="480"/>
        <w:jc w:val="center"/>
        <w:rPr>
          <w:rFonts w:ascii="宋体" w:hAnsi="宋体"/>
          <w:b/>
          <w:sz w:val="28"/>
          <w:szCs w:val="20"/>
          <w:lang w:val="zh-CN"/>
        </w:rPr>
      </w:pPr>
      <w:r>
        <w:rPr>
          <w:rFonts w:hint="eastAsia" w:ascii="宋体" w:hAnsi="宋体"/>
          <w:b/>
          <w:sz w:val="28"/>
          <w:szCs w:val="20"/>
          <w:lang w:val="zh-CN"/>
        </w:rPr>
        <w:t xml:space="preserve">  </w:t>
      </w:r>
      <w:r>
        <w:rPr>
          <w:rFonts w:hint="eastAsia" w:ascii="宋体" w:hAnsi="宋体"/>
          <w:b/>
          <w:sz w:val="28"/>
          <w:szCs w:val="20"/>
          <w:lang w:val="en-US" w:eastAsia="zh-CN"/>
        </w:rPr>
        <w:t>2022</w:t>
      </w:r>
      <w:r>
        <w:rPr>
          <w:rFonts w:hint="eastAsia" w:ascii="宋体" w:hAnsi="宋体"/>
          <w:b/>
          <w:sz w:val="28"/>
          <w:szCs w:val="20"/>
          <w:lang w:val="zh-CN"/>
        </w:rPr>
        <w:t>年</w:t>
      </w:r>
      <w:r>
        <w:rPr>
          <w:rFonts w:hint="eastAsia" w:ascii="宋体" w:hAnsi="宋体"/>
          <w:b/>
          <w:sz w:val="28"/>
          <w:szCs w:val="20"/>
        </w:rPr>
        <w:t xml:space="preserve">  </w:t>
      </w:r>
      <w:r>
        <w:rPr>
          <w:rFonts w:hint="eastAsia" w:ascii="宋体" w:hAnsi="宋体"/>
          <w:b/>
          <w:sz w:val="28"/>
          <w:szCs w:val="20"/>
          <w:lang w:val="en-US" w:eastAsia="zh-CN"/>
        </w:rPr>
        <w:t>1</w:t>
      </w:r>
      <w:r>
        <w:rPr>
          <w:rFonts w:hint="eastAsia" w:ascii="宋体" w:hAnsi="宋体"/>
          <w:b/>
          <w:sz w:val="28"/>
          <w:szCs w:val="20"/>
          <w:lang w:val="zh-CN"/>
        </w:rPr>
        <w:t>月</w:t>
      </w:r>
      <w:r>
        <w:rPr>
          <w:rFonts w:hint="eastAsia" w:ascii="宋体" w:hAnsi="宋体"/>
          <w:b/>
          <w:sz w:val="28"/>
          <w:szCs w:val="20"/>
        </w:rPr>
        <w:t xml:space="preserve"> </w:t>
      </w:r>
    </w:p>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pStyle w:val="6"/>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auto"/>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auto"/>
        <w:ind w:firstLine="422" w:firstLineChars="200"/>
        <w:rPr>
          <w:rFonts w:ascii="宋体" w:hAnsi="宋体"/>
          <w:color w:val="000000" w:themeColor="text1"/>
          <w:szCs w:val="21"/>
          <w:u w:val="single"/>
          <w14:textFill>
            <w14:solidFill>
              <w14:schemeClr w14:val="tx1"/>
            </w14:solidFill>
          </w14:textFill>
        </w:rPr>
      </w:pPr>
      <w:r>
        <w:rPr>
          <w:rFonts w:ascii="宋体" w:hAnsi="宋体"/>
          <w:b/>
          <w:color w:val="000000"/>
          <w:szCs w:val="21"/>
        </w:rPr>
        <w:t>承包人（全称）：</w:t>
      </w:r>
      <w:r>
        <w:rPr>
          <w:rFonts w:hint="eastAsia" w:ascii="宋体" w:hAnsi="宋体"/>
          <w:color w:val="000000" w:themeColor="text1"/>
          <w:szCs w:val="21"/>
          <w:u w:val="single"/>
          <w14:textFill>
            <w14:solidFill>
              <w14:schemeClr w14:val="tx1"/>
            </w14:solidFill>
          </w14:textFill>
        </w:rPr>
        <w:t xml:space="preserve">河南新隆建工集团有限公司 </w:t>
      </w:r>
    </w:p>
    <w:p>
      <w:pPr>
        <w:spacing w:line="360" w:lineRule="auto"/>
        <w:ind w:firstLine="840" w:firstLineChars="40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根据《中华人民共和国</w:t>
      </w:r>
      <w:r>
        <w:rPr>
          <w:rFonts w:hint="eastAsia" w:ascii="宋体" w:hAnsi="宋体"/>
          <w:color w:val="000000" w:themeColor="text1"/>
          <w:szCs w:val="21"/>
          <w14:textFill>
            <w14:solidFill>
              <w14:schemeClr w14:val="tx1"/>
            </w14:solidFill>
          </w14:textFill>
        </w:rPr>
        <w:t>民法典</w:t>
      </w:r>
      <w:r>
        <w:rPr>
          <w:rFonts w:ascii="宋体" w:hAnsi="宋体"/>
          <w:color w:val="000000" w:themeColor="text1"/>
          <w:szCs w:val="21"/>
          <w14:textFill>
            <w14:solidFill>
              <w14:schemeClr w14:val="tx1"/>
            </w14:solidFill>
          </w14:textFill>
        </w:rPr>
        <w:t>》、《中华人民共和国建筑法》及有关法律规定，遵循平等、自愿、公平和诚实信用的原则，双方就</w:t>
      </w:r>
      <w:r>
        <w:rPr>
          <w:rFonts w:hint="eastAsia" w:ascii="宋体" w:hAnsi="宋体"/>
          <w:color w:val="000000" w:themeColor="text1"/>
          <w:szCs w:val="21"/>
          <w:u w:val="single"/>
          <w14:textFill>
            <w14:solidFill>
              <w14:schemeClr w14:val="tx1"/>
            </w14:solidFill>
          </w14:textFill>
        </w:rPr>
        <w:t xml:space="preserve">  郑州大学后勤管理处东校区学生宿舍6、7号楼维修改造工程项目  </w:t>
      </w:r>
      <w:r>
        <w:rPr>
          <w:rFonts w:ascii="宋体" w:hAnsi="宋体"/>
          <w:color w:val="000000" w:themeColor="text1"/>
          <w:szCs w:val="21"/>
          <w14:textFill>
            <w14:solidFill>
              <w14:schemeClr w14:val="tx1"/>
            </w14:solidFill>
          </w14:textFill>
        </w:rPr>
        <w:t>施工及有关事项协商一致</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共同达成如下协议：</w:t>
      </w:r>
    </w:p>
    <w:p>
      <w:pPr>
        <w:pStyle w:val="7"/>
        <w:rPr>
          <w:rFonts w:ascii="宋体" w:hAnsi="宋体"/>
          <w:bCs w:val="0"/>
          <w:color w:val="000000" w:themeColor="text1"/>
          <w:szCs w:val="21"/>
          <w14:textFill>
            <w14:solidFill>
              <w14:schemeClr w14:val="tx1"/>
            </w14:solidFill>
          </w14:textFill>
        </w:rPr>
      </w:pPr>
      <w:bookmarkStart w:id="1" w:name="_Toc351203481"/>
      <w:r>
        <w:rPr>
          <w:rFonts w:ascii="宋体" w:hAnsi="宋体"/>
          <w:b w:val="0"/>
          <w:color w:val="000000" w:themeColor="text1"/>
          <w:szCs w:val="21"/>
          <w14:textFill>
            <w14:solidFill>
              <w14:schemeClr w14:val="tx1"/>
            </w14:solidFill>
          </w14:textFill>
        </w:rPr>
        <w:t>一、工程概况</w:t>
      </w:r>
      <w:bookmarkEnd w:id="1"/>
    </w:p>
    <w:p>
      <w:pPr>
        <w:spacing w:line="360" w:lineRule="auto"/>
        <w:ind w:firstLine="411" w:firstLineChars="196"/>
        <w:rPr>
          <w:rFonts w:ascii="宋体" w:hAnsi="宋体"/>
          <w:color w:val="000000" w:themeColor="text1"/>
          <w:szCs w:val="21"/>
          <w:u w:val="single"/>
          <w14:textFill>
            <w14:solidFill>
              <w14:schemeClr w14:val="tx1"/>
            </w14:solidFill>
          </w14:textFill>
        </w:rPr>
      </w:pPr>
      <w:r>
        <w:rPr>
          <w:rFonts w:ascii="宋体" w:hAnsi="宋体"/>
          <w:bCs/>
          <w:color w:val="000000" w:themeColor="text1"/>
          <w:szCs w:val="21"/>
          <w14:textFill>
            <w14:solidFill>
              <w14:schemeClr w14:val="tx1"/>
            </w14:solidFill>
          </w14:textFill>
        </w:rPr>
        <w:t>1.工程名称</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郑州大学后勤管理处东校区学生宿舍6、7号楼维修改造工程</w:t>
      </w:r>
      <w:r>
        <w:rPr>
          <w:rFonts w:hint="eastAsia" w:ascii="宋体" w:hAnsi="宋体"/>
          <w:b/>
          <w:color w:val="000000" w:themeColor="text1"/>
          <w:szCs w:val="21"/>
          <w14:textFill>
            <w14:solidFill>
              <w14:schemeClr w14:val="tx1"/>
            </w14:solidFill>
          </w14:textFill>
        </w:rPr>
        <w:t>。</w:t>
      </w:r>
    </w:p>
    <w:p>
      <w:pPr>
        <w:spacing w:line="360" w:lineRule="auto"/>
        <w:ind w:firstLine="411" w:firstLineChars="196"/>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2.工程地点：</w:t>
      </w:r>
      <w:r>
        <w:rPr>
          <w:rFonts w:hint="eastAsia" w:ascii="宋体" w:hAnsi="宋体"/>
          <w:color w:val="000000" w:themeColor="text1"/>
          <w:szCs w:val="21"/>
          <w:u w:val="single"/>
          <w14:textFill>
            <w14:solidFill>
              <w14:schemeClr w14:val="tx1"/>
            </w14:solidFill>
          </w14:textFill>
        </w:rPr>
        <w:t>郑州大学东校区</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p>
    <w:p>
      <w:pPr>
        <w:spacing w:line="360" w:lineRule="auto"/>
        <w:ind w:firstLine="411" w:firstLineChars="196"/>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3.工程立项批准文号：</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eastAsia="zh-CN"/>
          <w14:textFill>
            <w14:solidFill>
              <w14:schemeClr w14:val="tx1"/>
            </w14:solidFill>
          </w14:textFill>
        </w:rPr>
        <w:t>豫财磋商采购</w:t>
      </w:r>
      <w:r>
        <w:rPr>
          <w:rFonts w:hint="eastAsia" w:ascii="宋体" w:hAnsi="宋体"/>
          <w:color w:val="000000" w:themeColor="text1"/>
          <w:szCs w:val="21"/>
          <w:u w:val="single"/>
          <w14:textFill>
            <w14:solidFill>
              <w14:schemeClr w14:val="tx1"/>
            </w14:solidFill>
          </w14:textFill>
        </w:rPr>
        <w:t xml:space="preserve">-2021-1278  </w:t>
      </w:r>
      <w:r>
        <w:rPr>
          <w:rFonts w:ascii="宋体" w:hAnsi="宋体"/>
          <w:bCs/>
          <w:color w:val="000000" w:themeColor="text1"/>
          <w:szCs w:val="21"/>
          <w14:textFill>
            <w14:solidFill>
              <w14:schemeClr w14:val="tx1"/>
            </w14:solidFill>
          </w14:textFill>
        </w:rPr>
        <w:t>。</w:t>
      </w:r>
    </w:p>
    <w:p>
      <w:pPr>
        <w:spacing w:line="360" w:lineRule="auto"/>
        <w:ind w:firstLine="411" w:firstLineChars="196"/>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4.资金来源：</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后勤经费     </w:t>
      </w:r>
      <w:r>
        <w:rPr>
          <w:rFonts w:ascii="宋体" w:hAnsi="宋体"/>
          <w:color w:val="000000" w:themeColor="text1"/>
          <w:szCs w:val="21"/>
          <w:u w:val="single"/>
          <w14:textFill>
            <w14:solidFill>
              <w14:schemeClr w14:val="tx1"/>
            </w14:solidFill>
          </w14:textFill>
        </w:rPr>
        <w:t></w:t>
      </w:r>
      <w:r>
        <w:rPr>
          <w:rFonts w:ascii="宋体" w:hAnsi="宋体"/>
          <w:bCs/>
          <w:color w:val="000000" w:themeColor="text1"/>
          <w:szCs w:val="21"/>
          <w14:textFill>
            <w14:solidFill>
              <w14:schemeClr w14:val="tx1"/>
            </w14:solidFill>
          </w14:textFill>
        </w:rPr>
        <w:t>。</w:t>
      </w:r>
    </w:p>
    <w:p>
      <w:pPr>
        <w:spacing w:line="360" w:lineRule="auto"/>
        <w:ind w:left="1672" w:leftChars="196" w:hanging="1260" w:hangingChars="600"/>
        <w:rPr>
          <w:rFonts w:hint="eastAsia" w:ascii="宋体" w:hAnsi="宋体"/>
          <w:color w:val="000000"/>
          <w:szCs w:val="21"/>
          <w:u w:val="single"/>
        </w:rPr>
      </w:pPr>
      <w:r>
        <w:rPr>
          <w:rFonts w:hint="eastAsia" w:ascii="宋体" w:hAnsi="宋体"/>
          <w:bCs/>
          <w:color w:val="000000" w:themeColor="text1"/>
          <w:szCs w:val="21"/>
          <w14:textFill>
            <w14:solidFill>
              <w14:schemeClr w14:val="tx1"/>
            </w14:solidFill>
          </w14:textFill>
        </w:rPr>
        <w:t>5.工程内容：</w:t>
      </w:r>
      <w:r>
        <w:rPr>
          <w:rFonts w:hint="eastAsia" w:ascii="宋体" w:hAnsi="宋体"/>
          <w:color w:val="000000" w:themeColor="text1"/>
          <w:szCs w:val="21"/>
          <w:u w:val="single"/>
          <w14:textFill>
            <w14:solidFill>
              <w14:schemeClr w14:val="tx1"/>
            </w14:solidFill>
          </w14:textFill>
        </w:rPr>
        <w:t>对郑州大学东校区学生宿舍6、7号楼进行维修改造</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详见</w:t>
      </w:r>
      <w:r>
        <w:rPr>
          <w:rFonts w:hint="eastAsia" w:ascii="宋体" w:hAnsi="宋体"/>
          <w:color w:val="000000"/>
          <w:szCs w:val="21"/>
          <w:u w:val="single"/>
        </w:rPr>
        <w:t>招标文件及</w:t>
      </w:r>
    </w:p>
    <w:p>
      <w:pPr>
        <w:spacing w:line="360" w:lineRule="auto"/>
        <w:ind w:left="1672" w:leftChars="796"/>
        <w:rPr>
          <w:rFonts w:ascii="宋体" w:hAnsi="宋体"/>
          <w:color w:val="000000"/>
          <w:szCs w:val="21"/>
          <w:u w:val="single"/>
        </w:rPr>
      </w:pPr>
      <w:r>
        <w:rPr>
          <w:rFonts w:hint="eastAsia" w:ascii="宋体" w:hAnsi="宋体"/>
          <w:color w:val="000000"/>
          <w:szCs w:val="21"/>
          <w:u w:val="single"/>
        </w:rPr>
        <w:t>工程量清单</w:t>
      </w:r>
      <w:r>
        <w:rPr>
          <w:rFonts w:ascii="宋体" w:hAnsi="宋体"/>
          <w:bCs/>
          <w:color w:val="000000"/>
          <w:szCs w:val="21"/>
        </w:rPr>
        <w:t>。</w:t>
      </w:r>
    </w:p>
    <w:p>
      <w:pPr>
        <w:spacing w:line="360" w:lineRule="auto"/>
        <w:ind w:firstLine="411" w:firstLineChars="196"/>
        <w:rPr>
          <w:rFonts w:ascii="宋体" w:hAnsi="宋体"/>
          <w:bCs/>
          <w:color w:val="000000"/>
          <w:szCs w:val="21"/>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7"/>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auto"/>
        <w:ind w:firstLine="459"/>
        <w:rPr>
          <w:rFonts w:ascii="宋体" w:hAnsi="宋体"/>
          <w:color w:val="000000" w:themeColor="text1"/>
          <w:szCs w:val="21"/>
          <w14:textFill>
            <w14:solidFill>
              <w14:schemeClr w14:val="tx1"/>
            </w14:solidFill>
          </w14:textFill>
        </w:rPr>
      </w:pPr>
      <w:r>
        <w:rPr>
          <w:rFonts w:ascii="宋体" w:hAnsi="宋体"/>
          <w:color w:val="000000"/>
          <w:szCs w:val="21"/>
        </w:rPr>
        <w:t>计划开工日期：</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2022</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年</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1 </w:t>
      </w:r>
      <w:r>
        <w:rPr>
          <w:rFonts w:ascii="宋体" w:hAnsi="宋体"/>
          <w:color w:val="000000" w:themeColor="text1"/>
          <w:szCs w:val="21"/>
          <w14:textFill>
            <w14:solidFill>
              <w14:schemeClr w14:val="tx1"/>
            </w14:solidFill>
          </w14:textFill>
        </w:rPr>
        <w:t>月</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10</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日。</w:t>
      </w:r>
    </w:p>
    <w:p>
      <w:pPr>
        <w:spacing w:line="360" w:lineRule="auto"/>
        <w:ind w:firstLine="459"/>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计划竣工日期：</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2022</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年</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3 </w:t>
      </w:r>
      <w:r>
        <w:rPr>
          <w:rFonts w:ascii="宋体" w:hAnsi="宋体"/>
          <w:color w:val="000000" w:themeColor="text1"/>
          <w:szCs w:val="21"/>
          <w14:textFill>
            <w14:solidFill>
              <w14:schemeClr w14:val="tx1"/>
            </w14:solidFill>
          </w14:textFill>
        </w:rPr>
        <w:t>月</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10 </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日。</w:t>
      </w:r>
    </w:p>
    <w:p>
      <w:pPr>
        <w:spacing w:line="360" w:lineRule="auto"/>
        <w:ind w:firstLine="459"/>
        <w:rPr>
          <w:rFonts w:ascii="宋体" w:hAnsi="宋体"/>
          <w:color w:val="000000"/>
          <w:szCs w:val="21"/>
        </w:rPr>
      </w:pPr>
      <w:r>
        <w:rPr>
          <w:rFonts w:ascii="宋体" w:hAnsi="宋体"/>
          <w:color w:val="000000" w:themeColor="text1"/>
          <w:szCs w:val="21"/>
          <w14:textFill>
            <w14:solidFill>
              <w14:schemeClr w14:val="tx1"/>
            </w14:solidFill>
          </w14:textFill>
        </w:rPr>
        <w:t>工期总日历天数：</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60</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天。</w:t>
      </w:r>
      <w:r>
        <w:rPr>
          <w:rFonts w:ascii="宋体" w:hAnsi="宋体"/>
          <w:color w:val="000000"/>
          <w:szCs w:val="21"/>
        </w:rPr>
        <w:t>工期总日历天数与根据前述计划开竣工日期计算的工期天数不一致的，以工期总日历天数为准。</w:t>
      </w:r>
    </w:p>
    <w:p>
      <w:pPr>
        <w:pStyle w:val="7"/>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auto"/>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7"/>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auto"/>
        <w:ind w:firstLine="420" w:firstLineChars="200"/>
        <w:rPr>
          <w:rFonts w:ascii="宋体" w:hAnsi="宋体"/>
          <w:color w:val="000000"/>
          <w:szCs w:val="21"/>
        </w:rPr>
      </w:pPr>
      <w:r>
        <w:rPr>
          <w:rFonts w:ascii="宋体" w:hAnsi="宋体"/>
          <w:color w:val="000000"/>
          <w:szCs w:val="21"/>
        </w:rPr>
        <w:t>1.签约合同价为：人民币（大写）</w:t>
      </w:r>
      <w:r>
        <w:rPr>
          <w:rFonts w:hint="eastAsia" w:ascii="宋体" w:hAnsi="宋体"/>
          <w:color w:val="000000" w:themeColor="text1"/>
          <w:szCs w:val="21"/>
          <w:u w:val="single"/>
          <w14:textFill>
            <w14:solidFill>
              <w14:schemeClr w14:val="tx1"/>
            </w14:solidFill>
          </w14:textFill>
        </w:rPr>
        <w:t>贰佰肆拾玖万柒仟元整</w:t>
      </w:r>
      <w:r>
        <w:rPr>
          <w:rFonts w:ascii="宋体" w:hAnsi="宋体"/>
          <w:color w:val="000000" w:themeColor="text1"/>
          <w:szCs w:val="21"/>
          <w14:textFill>
            <w14:solidFill>
              <w14:schemeClr w14:val="tx1"/>
            </w14:solidFill>
          </w14:textFill>
        </w:rPr>
        <w:t>(¥</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2497000.00</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元)</w:t>
      </w:r>
      <w:r>
        <w:rPr>
          <w:rFonts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其中：</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szCs w:val="21"/>
        </w:rPr>
        <w:t>（1）安全文明施工费：人民币（大写）</w:t>
      </w:r>
      <w:r>
        <w:rPr>
          <w:rFonts w:hint="eastAsia" w:ascii="宋体" w:hAnsi="宋体"/>
          <w:color w:val="000000" w:themeColor="text1"/>
          <w:szCs w:val="21"/>
          <w:u w:val="single"/>
          <w14:textFill>
            <w14:solidFill>
              <w14:schemeClr w14:val="tx1"/>
            </w14:solidFill>
          </w14:textFill>
        </w:rPr>
        <w:t>伍万贰仟叁佰零陆元柒角肆分</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52306.74</w:t>
      </w:r>
      <w:r>
        <w:rPr>
          <w:rFonts w:ascii="宋体" w:hAnsi="宋体"/>
          <w:color w:val="000000" w:themeColor="text1"/>
          <w:szCs w:val="21"/>
          <w14:textFill>
            <w14:solidFill>
              <w14:schemeClr w14:val="tx1"/>
            </w14:solidFill>
          </w14:textFill>
        </w:rPr>
        <w:t>元)；</w:t>
      </w:r>
    </w:p>
    <w:p>
      <w:pPr>
        <w:spacing w:line="360" w:lineRule="auto"/>
        <w:ind w:firstLine="420" w:firstLineChars="200"/>
        <w:rPr>
          <w:rFonts w:ascii="宋体" w:hAnsi="宋体"/>
          <w:color w:val="000000"/>
          <w:szCs w:val="21"/>
        </w:rPr>
      </w:pPr>
      <w:r>
        <w:rPr>
          <w:rFonts w:ascii="宋体" w:hAnsi="宋体"/>
          <w:color w:val="000000"/>
          <w:szCs w:val="21"/>
        </w:rPr>
        <w:t>（2）材料和工程设备暂估价金额：人民币（大写）</w:t>
      </w:r>
      <w:r>
        <w:rPr>
          <w:rFonts w:ascii="宋体" w:hAnsi="宋体"/>
          <w:color w:val="000000"/>
          <w:szCs w:val="21"/>
          <w:u w:val="single"/>
        </w:rPr>
        <w:t xml:space="preserve">   </w:t>
      </w:r>
      <w:r>
        <w:rPr>
          <w:rFonts w:hint="eastAsia" w:ascii="宋体" w:hAnsi="宋体"/>
          <w:color w:val="000000"/>
          <w:szCs w:val="21"/>
          <w:u w:val="single"/>
          <w:lang w:eastAsia="zh-CN"/>
        </w:rPr>
        <w:t>捌万零叁佰玖拾陆元整</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lang w:val="en-US" w:eastAsia="zh-CN"/>
        </w:rPr>
        <w:t>80396.0</w:t>
      </w:r>
      <w:r>
        <w:rPr>
          <w:rFonts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000000"/>
          <w:szCs w:val="21"/>
        </w:rPr>
      </w:pPr>
      <w:r>
        <w:rPr>
          <w:rFonts w:ascii="宋体" w:hAnsi="宋体"/>
          <w:color w:val="000000"/>
          <w:szCs w:val="21"/>
        </w:rPr>
        <w:t>（3）专业工程暂估价金额：人民币（大写）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ind w:firstLine="420" w:firstLineChars="200"/>
        <w:rPr>
          <w:rFonts w:ascii="宋体" w:hAnsi="宋体"/>
          <w:color w:val="FF0000"/>
          <w:szCs w:val="21"/>
        </w:rPr>
      </w:pPr>
      <w:r>
        <w:rPr>
          <w:rFonts w:ascii="宋体" w:hAnsi="宋体"/>
          <w:color w:val="000000"/>
          <w:szCs w:val="21"/>
        </w:rPr>
        <w:t>（4）暂列金额：人民币（大写）</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拾万元整</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100000 </w:t>
      </w:r>
      <w:r>
        <w:rPr>
          <w:rFonts w:ascii="宋体" w:hAnsi="宋体"/>
          <w:color w:val="000000" w:themeColor="text1"/>
          <w:szCs w:val="21"/>
          <w14:textFill>
            <w14:solidFill>
              <w14:schemeClr w14:val="tx1"/>
            </w14:solidFill>
          </w14:textFill>
        </w:rPr>
        <w:t>元)。</w:t>
      </w:r>
    </w:p>
    <w:p>
      <w:pPr>
        <w:spacing w:line="360" w:lineRule="auto"/>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7"/>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auto"/>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张建朝</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szCs w:val="21"/>
        </w:rPr>
        <w:t>。</w:t>
      </w:r>
    </w:p>
    <w:p>
      <w:pPr>
        <w:pStyle w:val="7"/>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auto"/>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（1）中标通知书（如果有）；</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（3）投标函及其附录（如果有）；</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（4）专用合同条款及其附件；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（5）通用合同条款；</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（6）技术标准和要求；</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（7）已标价工程量清单或预算书；</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（8）其他合同文件。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在合同订立及履行过程中形成的与合同有关的文件均构成合同文件</w:t>
      </w:r>
      <w:r>
        <w:rPr>
          <w:rFonts w:hint="eastAsia" w:ascii="宋体" w:hAnsi="宋体"/>
          <w:color w:val="000000"/>
          <w:szCs w:val="21"/>
        </w:rPr>
        <w:t>的</w:t>
      </w:r>
      <w:r>
        <w:rPr>
          <w:rFonts w:ascii="宋体" w:hAnsi="宋体"/>
          <w:color w:val="000000"/>
          <w:szCs w:val="21"/>
        </w:rPr>
        <w:t>组成部分。</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r>
        <w:rPr>
          <w:rFonts w:hint="eastAsia" w:ascii="宋体" w:hAnsi="宋体"/>
          <w:color w:val="000000"/>
          <w:szCs w:val="21"/>
        </w:rPr>
        <w:t>专用合同条款及其附件须经合同当事人签字或盖章。</w:t>
      </w:r>
    </w:p>
    <w:p>
      <w:pPr>
        <w:pStyle w:val="7"/>
        <w:rPr>
          <w:rFonts w:ascii="宋体" w:hAnsi="宋体"/>
          <w:b w:val="0"/>
          <w:bCs w:val="0"/>
          <w:color w:val="000000"/>
          <w:szCs w:val="21"/>
        </w:rPr>
      </w:pPr>
      <w:bookmarkStart w:id="7" w:name="_Toc351203487"/>
      <w:r>
        <w:rPr>
          <w:rFonts w:ascii="宋体" w:hAnsi="宋体"/>
          <w:b w:val="0"/>
          <w:color w:val="000000"/>
          <w:szCs w:val="21"/>
        </w:rPr>
        <w:t>七、承诺</w:t>
      </w:r>
      <w:bookmarkEnd w:id="7"/>
    </w:p>
    <w:p>
      <w:pPr>
        <w:spacing w:line="360" w:lineRule="auto"/>
        <w:ind w:firstLine="420" w:firstLineChars="200"/>
        <w:rPr>
          <w:rFonts w:ascii="宋体" w:hAnsi="宋体"/>
          <w:bCs/>
          <w:color w:val="000000"/>
          <w:szCs w:val="21"/>
        </w:rPr>
      </w:pPr>
      <w:r>
        <w:rPr>
          <w:rFonts w:ascii="宋体" w:hAnsi="宋体"/>
          <w:bCs/>
          <w:color w:val="000000"/>
          <w:szCs w:val="21"/>
        </w:rPr>
        <w:t>1.发包人承诺按照法律规定履行项目审批手续、筹集工程建设资金并按照合同约定的期限和方式支付合同价款。</w:t>
      </w:r>
    </w:p>
    <w:p>
      <w:pPr>
        <w:spacing w:line="360" w:lineRule="auto"/>
        <w:ind w:firstLine="420" w:firstLineChars="200"/>
        <w:rPr>
          <w:rFonts w:ascii="宋体" w:hAnsi="宋体"/>
          <w:bCs/>
          <w:color w:val="000000"/>
          <w:szCs w:val="21"/>
        </w:rPr>
      </w:pP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ascii="宋体" w:hAnsi="宋体"/>
          <w:bCs/>
          <w:color w:val="000000"/>
          <w:szCs w:val="21"/>
        </w:rPr>
      </w:pPr>
      <w:r>
        <w:rPr>
          <w:rFonts w:ascii="宋体" w:hAnsi="宋体"/>
          <w:bCs/>
          <w:color w:val="000000"/>
          <w:szCs w:val="21"/>
        </w:rPr>
        <w:t>3.发包人和承包人通过招投标形式签订合同的，双方理解并</w:t>
      </w:r>
      <w:r>
        <w:rPr>
          <w:rFonts w:hint="eastAsia" w:ascii="宋体" w:hAnsi="宋体"/>
          <w:bCs/>
          <w:color w:val="000000"/>
          <w:szCs w:val="21"/>
        </w:rPr>
        <w:t>承诺</w:t>
      </w:r>
      <w:r>
        <w:rPr>
          <w:rFonts w:ascii="宋体" w:hAnsi="宋体"/>
          <w:bCs/>
          <w:color w:val="000000"/>
          <w:szCs w:val="21"/>
        </w:rPr>
        <w:t>不再就同一工程另行签订与合同实质性内容相背离的协议。</w:t>
      </w:r>
    </w:p>
    <w:p>
      <w:pPr>
        <w:spacing w:line="360" w:lineRule="auto"/>
        <w:rPr>
          <w:rFonts w:ascii="宋体" w:hAnsi="宋体"/>
          <w:bCs/>
          <w:color w:val="000000"/>
          <w:szCs w:val="21"/>
        </w:rPr>
      </w:pPr>
      <w:bookmarkStart w:id="8" w:name="_Toc351203488"/>
      <w:r>
        <w:rPr>
          <w:rFonts w:ascii="宋体" w:hAnsi="宋体"/>
          <w:b/>
          <w:color w:val="000000"/>
          <w:szCs w:val="21"/>
        </w:rPr>
        <w:t>八、词语含义</w:t>
      </w:r>
      <w:bookmarkEnd w:id="8"/>
    </w:p>
    <w:p>
      <w:pPr>
        <w:spacing w:line="360" w:lineRule="auto"/>
        <w:ind w:firstLine="420" w:firstLineChars="200"/>
        <w:rPr>
          <w:rFonts w:ascii="宋体" w:hAnsi="宋体"/>
          <w:bCs/>
          <w:color w:val="000000"/>
          <w:szCs w:val="21"/>
        </w:rPr>
      </w:pPr>
      <w:r>
        <w:rPr>
          <w:rFonts w:ascii="宋体" w:hAnsi="宋体"/>
          <w:bCs/>
          <w:color w:val="000000"/>
          <w:szCs w:val="21"/>
        </w:rPr>
        <w:t>本协议书中词语含义与第二部分通用合同条款中赋予的含义相同。</w:t>
      </w:r>
    </w:p>
    <w:p>
      <w:pPr>
        <w:spacing w:line="360" w:lineRule="auto"/>
        <w:rPr>
          <w:rFonts w:ascii="宋体" w:hAnsi="宋体"/>
          <w:b/>
          <w:color w:val="000000"/>
          <w:szCs w:val="21"/>
        </w:rPr>
      </w:pPr>
      <w:bookmarkStart w:id="9" w:name="_Toc351203489"/>
      <w:r>
        <w:rPr>
          <w:rFonts w:hint="eastAsia" w:ascii="宋体" w:hAnsi="宋体"/>
          <w:b/>
          <w:color w:val="000000"/>
          <w:szCs w:val="21"/>
        </w:rPr>
        <w:t>九</w:t>
      </w:r>
      <w:r>
        <w:rPr>
          <w:rFonts w:ascii="宋体" w:hAnsi="宋体"/>
          <w:b/>
          <w:color w:val="000000"/>
          <w:szCs w:val="21"/>
        </w:rPr>
        <w:t>、签订时间</w:t>
      </w:r>
      <w:bookmarkEnd w:id="9"/>
    </w:p>
    <w:p>
      <w:pPr>
        <w:spacing w:line="360" w:lineRule="auto"/>
        <w:ind w:firstLine="420" w:firstLineChars="200"/>
        <w:rPr>
          <w:rFonts w:ascii="宋体" w:hAnsi="宋体"/>
          <w:bCs/>
          <w:color w:val="000000"/>
          <w:szCs w:val="21"/>
        </w:rPr>
      </w:pPr>
      <w:r>
        <w:rPr>
          <w:rFonts w:ascii="宋体" w:hAnsi="宋体"/>
          <w:bCs/>
          <w:color w:val="000000"/>
          <w:szCs w:val="21"/>
        </w:rPr>
        <w:t>本合同于</w:t>
      </w:r>
      <w:r>
        <w:rPr>
          <w:rFonts w:ascii="宋体" w:hAnsi="宋体"/>
          <w:bCs/>
          <w:color w:val="000000"/>
          <w:szCs w:val="21"/>
          <w:u w:val="single"/>
        </w:rPr>
        <w:t xml:space="preserve">  </w:t>
      </w:r>
      <w:r>
        <w:rPr>
          <w:rFonts w:hint="eastAsia" w:ascii="宋体" w:hAnsi="宋体"/>
          <w:bCs/>
          <w:color w:val="000000"/>
          <w:szCs w:val="21"/>
          <w:u w:val="single"/>
          <w:lang w:val="en-US" w:eastAsia="zh-CN"/>
        </w:rPr>
        <w:t>2022</w:t>
      </w:r>
      <w:r>
        <w:rPr>
          <w:rFonts w:ascii="宋体" w:hAnsi="宋体"/>
          <w:bCs/>
          <w:color w:val="000000"/>
          <w:szCs w:val="21"/>
          <w:u w:val="single"/>
        </w:rPr>
        <w:t xml:space="preserve">  </w:t>
      </w:r>
      <w:r>
        <w:rPr>
          <w:rFonts w:ascii="宋体" w:hAnsi="宋体"/>
          <w:bCs/>
          <w:color w:val="000000"/>
          <w:szCs w:val="21"/>
        </w:rPr>
        <w:t>年</w:t>
      </w:r>
      <w:r>
        <w:rPr>
          <w:rFonts w:ascii="宋体" w:hAnsi="宋体"/>
          <w:bCs/>
          <w:color w:val="000000"/>
          <w:szCs w:val="21"/>
          <w:u w:val="single"/>
        </w:rPr>
        <w:t xml:space="preserve">  </w:t>
      </w:r>
      <w:r>
        <w:rPr>
          <w:rFonts w:hint="eastAsia" w:ascii="宋体" w:hAnsi="宋体"/>
          <w:bCs/>
          <w:color w:val="000000"/>
          <w:szCs w:val="21"/>
          <w:u w:val="single"/>
        </w:rPr>
        <w:t xml:space="preserve"> </w:t>
      </w:r>
      <w:r>
        <w:rPr>
          <w:rFonts w:hint="eastAsia" w:ascii="宋体" w:hAnsi="宋体"/>
          <w:bCs/>
          <w:color w:val="000000"/>
          <w:szCs w:val="21"/>
          <w:u w:val="single"/>
          <w:lang w:val="en-US" w:eastAsia="zh-CN"/>
        </w:rPr>
        <w:t>1</w:t>
      </w:r>
      <w:r>
        <w:rPr>
          <w:rFonts w:hint="eastAsia" w:ascii="宋体" w:hAnsi="宋体"/>
          <w:bCs/>
          <w:color w:val="000000"/>
          <w:szCs w:val="21"/>
          <w:u w:val="single"/>
        </w:rPr>
        <w:t xml:space="preserve">  </w:t>
      </w:r>
      <w:r>
        <w:rPr>
          <w:rFonts w:ascii="宋体" w:hAnsi="宋体"/>
          <w:bCs/>
          <w:color w:val="000000"/>
          <w:szCs w:val="21"/>
        </w:rPr>
        <w:t>月</w:t>
      </w:r>
      <w:r>
        <w:rPr>
          <w:rFonts w:ascii="宋体" w:hAnsi="宋体"/>
          <w:bCs/>
          <w:color w:val="000000"/>
          <w:szCs w:val="21"/>
          <w:u w:val="single"/>
        </w:rPr>
        <w:t xml:space="preserve">  </w:t>
      </w:r>
      <w:r>
        <w:rPr>
          <w:rFonts w:hint="eastAsia" w:ascii="宋体" w:hAnsi="宋体"/>
          <w:bCs/>
          <w:color w:val="000000"/>
          <w:szCs w:val="21"/>
          <w:u w:val="single"/>
        </w:rPr>
        <w:t xml:space="preserve"> </w:t>
      </w:r>
      <w:r>
        <w:rPr>
          <w:rFonts w:hint="eastAsia" w:ascii="宋体" w:hAnsi="宋体"/>
          <w:bCs/>
          <w:color w:val="000000"/>
          <w:szCs w:val="21"/>
          <w:u w:val="single"/>
          <w:lang w:val="en-US" w:eastAsia="zh-CN"/>
        </w:rPr>
        <w:t>5</w:t>
      </w:r>
      <w:r>
        <w:rPr>
          <w:rFonts w:hint="eastAsia" w:ascii="宋体" w:hAnsi="宋体"/>
          <w:bCs/>
          <w:color w:val="000000"/>
          <w:szCs w:val="21"/>
          <w:u w:val="single"/>
        </w:rPr>
        <w:t xml:space="preserve"> </w:t>
      </w:r>
      <w:r>
        <w:rPr>
          <w:rFonts w:ascii="宋体" w:hAnsi="宋体"/>
          <w:bCs/>
          <w:color w:val="000000"/>
          <w:szCs w:val="21"/>
          <w:u w:val="single"/>
        </w:rPr>
        <w:t xml:space="preserve"> </w:t>
      </w:r>
      <w:r>
        <w:rPr>
          <w:rFonts w:ascii="宋体" w:hAnsi="宋体"/>
          <w:bCs/>
          <w:color w:val="000000"/>
          <w:szCs w:val="21"/>
        </w:rPr>
        <w:t>日签订。</w:t>
      </w:r>
      <w:bookmarkStart w:id="10" w:name="_Toc351203490"/>
    </w:p>
    <w:p>
      <w:pPr>
        <w:spacing w:line="360" w:lineRule="auto"/>
        <w:rPr>
          <w:rFonts w:ascii="宋体" w:hAnsi="宋体"/>
          <w:b/>
          <w:bCs/>
          <w:color w:val="000000"/>
          <w:szCs w:val="21"/>
        </w:rPr>
      </w:pPr>
      <w:r>
        <w:rPr>
          <w:rFonts w:ascii="宋体" w:hAnsi="宋体"/>
          <w:b/>
          <w:color w:val="000000"/>
          <w:szCs w:val="21"/>
        </w:rPr>
        <w:t>十、签订地点</w:t>
      </w:r>
      <w:bookmarkEnd w:id="10"/>
    </w:p>
    <w:p>
      <w:pPr>
        <w:spacing w:line="360" w:lineRule="auto"/>
        <w:ind w:firstLine="420" w:firstLineChars="200"/>
        <w:rPr>
          <w:rFonts w:ascii="宋体" w:hAnsi="宋体"/>
          <w:bCs/>
          <w:color w:val="000000"/>
          <w:szCs w:val="21"/>
        </w:rPr>
      </w:pPr>
      <w:r>
        <w:rPr>
          <w:rFonts w:ascii="宋体" w:hAnsi="宋体"/>
          <w:bCs/>
          <w:color w:val="000000"/>
          <w:szCs w:val="21"/>
        </w:rPr>
        <w:t>本合同在</w:t>
      </w:r>
      <w:r>
        <w:rPr>
          <w:rFonts w:ascii="宋体" w:hAnsi="宋体"/>
          <w:bCs/>
          <w:color w:val="000000"/>
          <w:szCs w:val="21"/>
          <w:u w:val="single"/>
        </w:rPr>
        <w:t xml:space="preserve">        </w:t>
      </w:r>
      <w:r>
        <w:rPr>
          <w:rFonts w:hint="eastAsia" w:ascii="宋体" w:hAnsi="宋体"/>
          <w:bCs/>
          <w:color w:val="000000"/>
          <w:szCs w:val="21"/>
          <w:u w:val="single"/>
        </w:rPr>
        <w:t>郑州市</w:t>
      </w:r>
      <w:r>
        <w:rPr>
          <w:rFonts w:ascii="宋体" w:hAnsi="宋体"/>
          <w:bCs/>
          <w:color w:val="000000"/>
          <w:szCs w:val="21"/>
          <w:u w:val="single"/>
        </w:rPr>
        <w:t xml:space="preserve">          </w:t>
      </w:r>
      <w:r>
        <w:rPr>
          <w:rFonts w:ascii="宋体" w:hAnsi="宋体"/>
          <w:bCs/>
          <w:color w:val="000000"/>
          <w:szCs w:val="21"/>
        </w:rPr>
        <w:t>签订。</w:t>
      </w:r>
      <w:bookmarkStart w:id="11" w:name="_Toc351203491"/>
    </w:p>
    <w:bookmarkEnd w:id="11"/>
    <w:p>
      <w:pPr>
        <w:rPr>
          <w:rFonts w:ascii="黑体" w:hAnsi="华文中宋" w:eastAsia="黑体"/>
          <w:bCs w:val="0"/>
          <w:sz w:val="32"/>
        </w:rPr>
      </w:pPr>
      <w:bookmarkStart w:id="12" w:name="_Toc7289"/>
      <w:bookmarkStart w:id="13" w:name="_Toc351203494"/>
      <w:r>
        <w:drawing>
          <wp:inline distT="0" distB="0" distL="114300" distR="114300">
            <wp:extent cx="5262245" cy="7437755"/>
            <wp:effectExtent l="0" t="0" r="1460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p>
    <w:p>
      <w:pPr>
        <w:rPr>
          <w:rFonts w:ascii="黑体" w:hAnsi="华文中宋" w:eastAsia="黑体"/>
          <w:bCs w:val="0"/>
          <w:sz w:val="32"/>
        </w:rPr>
      </w:pPr>
      <w:r>
        <w:rPr>
          <w:rFonts w:ascii="黑体" w:hAnsi="华文中宋" w:eastAsia="黑体"/>
          <w:bCs w:val="0"/>
          <w:sz w:val="32"/>
        </w:rPr>
        <w:br w:type="page"/>
      </w:r>
    </w:p>
    <w:p>
      <w:pPr>
        <w:pStyle w:val="6"/>
        <w:jc w:val="center"/>
        <w:rPr>
          <w:rFonts w:ascii="华文中宋" w:hAnsi="华文中宋" w:eastAsia="华文中宋"/>
          <w:sz w:val="21"/>
          <w:szCs w:val="21"/>
        </w:rPr>
      </w:pPr>
      <w:r>
        <w:rPr>
          <w:rFonts w:ascii="黑体" w:hAnsi="华文中宋" w:eastAsia="黑体"/>
          <w:bCs w:val="0"/>
          <w:sz w:val="32"/>
        </w:rPr>
        <w:t>第二部分 通用合同条款</w:t>
      </w:r>
      <w:bookmarkEnd w:id="12"/>
      <w:bookmarkEnd w:id="13"/>
      <w:bookmarkStart w:id="14" w:name="_Toc337558727"/>
    </w:p>
    <w:bookmarkEnd w:id="14"/>
    <w:p>
      <w:pPr>
        <w:jc w:val="center"/>
        <w:rPr>
          <w:rFonts w:ascii="宋体" w:hAnsi="宋体"/>
          <w:color w:val="000000"/>
          <w:szCs w:val="21"/>
        </w:rPr>
      </w:pPr>
      <w:bookmarkStart w:id="15"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6"/>
        <w:jc w:val="center"/>
        <w:rPr>
          <w:rFonts w:ascii="黑体" w:hAnsi="华文中宋" w:eastAsia="黑体"/>
          <w:bCs w:val="0"/>
          <w:sz w:val="21"/>
          <w:szCs w:val="21"/>
        </w:rPr>
      </w:pPr>
      <w:bookmarkStart w:id="16"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5"/>
      <w:bookmarkEnd w:id="16"/>
    </w:p>
    <w:p>
      <w:pPr>
        <w:pStyle w:val="7"/>
        <w:spacing w:before="120" w:after="120" w:line="320" w:lineRule="exact"/>
        <w:rPr>
          <w:rFonts w:ascii="宋体" w:hAnsi="宋体"/>
          <w:b w:val="0"/>
          <w:color w:val="000000"/>
          <w:szCs w:val="21"/>
        </w:rPr>
      </w:pPr>
      <w:bookmarkStart w:id="17" w:name="_Toc351203633"/>
      <w:bookmarkStart w:id="18" w:name="_Toc351203652"/>
      <w:r>
        <w:rPr>
          <w:rFonts w:ascii="宋体" w:hAnsi="宋体"/>
          <w:b w:val="0"/>
          <w:color w:val="000000"/>
          <w:szCs w:val="21"/>
        </w:rPr>
        <w:t>1</w:t>
      </w:r>
      <w:bookmarkStart w:id="19" w:name="_Toc296944495"/>
      <w:bookmarkStart w:id="20" w:name="_Toc297048342"/>
      <w:bookmarkStart w:id="21" w:name="_Toc296347155"/>
      <w:bookmarkStart w:id="22" w:name="_Toc292559866"/>
      <w:bookmarkStart w:id="23" w:name="_Toc292559361"/>
      <w:bookmarkStart w:id="24" w:name="_Toc296890984"/>
      <w:bookmarkStart w:id="25" w:name="_Toc296891196"/>
      <w:bookmarkStart w:id="26" w:name="_Toc297120456"/>
      <w:bookmarkStart w:id="27" w:name="_Toc296503156"/>
      <w:bookmarkStart w:id="28" w:name="_Toc296346657"/>
      <w:r>
        <w:rPr>
          <w:rFonts w:ascii="宋体" w:hAnsi="宋体"/>
          <w:b w:val="0"/>
          <w:color w:val="000000"/>
          <w:szCs w:val="21"/>
        </w:rPr>
        <w:t>. 一般约定</w:t>
      </w:r>
      <w:bookmarkEnd w:id="17"/>
    </w:p>
    <w:bookmarkEnd w:id="19"/>
    <w:bookmarkEnd w:id="20"/>
    <w:bookmarkEnd w:id="21"/>
    <w:bookmarkEnd w:id="22"/>
    <w:bookmarkEnd w:id="23"/>
    <w:bookmarkEnd w:id="24"/>
    <w:bookmarkEnd w:id="25"/>
    <w:bookmarkEnd w:id="26"/>
    <w:bookmarkEnd w:id="27"/>
    <w:bookmarkEnd w:id="28"/>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 xml:space="preserve">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7"/>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29"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ascii="宋体" w:hAnsi="宋体" w:cs="宋体"/>
          <w:b/>
          <w:kern w:val="0"/>
          <w:szCs w:val="21"/>
          <w:u w:val="single"/>
        </w:rPr>
      </w:pPr>
      <w:r>
        <w:rPr>
          <w:rFonts w:ascii="宋体" w:hAnsi="宋体"/>
          <w:u w:val="single"/>
        </w:rPr>
        <w:t></w:t>
      </w:r>
      <w:r>
        <w:rPr>
          <w:rFonts w:hint="eastAsia" w:ascii="宋体" w:hAnsi="宋体" w:cs="宋体"/>
          <w:b/>
          <w:kern w:val="0"/>
          <w:szCs w:val="21"/>
          <w:u w:val="single"/>
        </w:rPr>
        <w:t>如果有变更，变更增减工程量小于等于单项工程工程量5%的甲乙双方不再计取；</w:t>
      </w:r>
    </w:p>
    <w:p>
      <w:pPr>
        <w:spacing w:line="360" w:lineRule="auto"/>
        <w:ind w:firstLine="422"/>
        <w:rPr>
          <w:rFonts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变更工程量大于5%小于15%的单项工程，承包人投标文件列明综合单价的，按承包人单价计取并优惠，变更优惠率按：</w:t>
      </w:r>
      <w:r>
        <w:rPr>
          <w:rFonts w:hint="eastAsia" w:ascii="宋体" w:hAnsi="宋体" w:cs="宋体"/>
          <w:b/>
          <w:color w:val="000000" w:themeColor="text1"/>
          <w:kern w:val="0"/>
          <w:szCs w:val="21"/>
          <w:u w:val="single"/>
          <w14:textFill>
            <w14:solidFill>
              <w14:schemeClr w14:val="tx1"/>
            </w14:solidFill>
          </w14:textFill>
        </w:rPr>
        <w:t>1-（最终报价-暂估价-暂列金额）/（第一次报价价-暂估价-暂列金额）*100%；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变更工程量大于等于单项工程工程量15%的，甲乙双方都须重新核定该单项工程综合单价。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7"/>
        <w:spacing w:before="120" w:after="120" w:line="320" w:lineRule="exact"/>
        <w:rPr>
          <w:rFonts w:ascii="宋体" w:hAnsi="宋体"/>
          <w:b w:val="0"/>
          <w:color w:val="000000"/>
          <w:szCs w:val="21"/>
        </w:rPr>
      </w:pPr>
      <w:r>
        <w:rPr>
          <w:rFonts w:ascii="宋体" w:hAnsi="宋体"/>
          <w:b w:val="0"/>
          <w:color w:val="000000"/>
          <w:szCs w:val="21"/>
        </w:rPr>
        <w:t>2</w:t>
      </w:r>
      <w:bookmarkStart w:id="30" w:name="_Toc296503157"/>
      <w:bookmarkStart w:id="31" w:name="_Toc297048343"/>
      <w:bookmarkStart w:id="32" w:name="_Toc297120457"/>
      <w:bookmarkStart w:id="33" w:name="_Toc296944496"/>
      <w:bookmarkStart w:id="34" w:name="_Toc296890985"/>
      <w:bookmarkStart w:id="35" w:name="_Toc292559867"/>
      <w:bookmarkStart w:id="36" w:name="_Toc296347156"/>
      <w:bookmarkStart w:id="37" w:name="_Toc292559362"/>
      <w:bookmarkStart w:id="38" w:name="_Toc296891197"/>
      <w:bookmarkStart w:id="39" w:name="_Toc296346658"/>
      <w:r>
        <w:rPr>
          <w:rFonts w:ascii="宋体" w:hAnsi="宋体"/>
          <w:b w:val="0"/>
          <w:color w:val="000000"/>
          <w:szCs w:val="21"/>
        </w:rPr>
        <w:t>. 发包人</w:t>
      </w:r>
      <w:bookmarkEnd w:id="29"/>
    </w:p>
    <w:bookmarkEnd w:id="30"/>
    <w:bookmarkEnd w:id="31"/>
    <w:bookmarkEnd w:id="32"/>
    <w:bookmarkEnd w:id="33"/>
    <w:bookmarkEnd w:id="34"/>
    <w:bookmarkEnd w:id="35"/>
    <w:bookmarkEnd w:id="36"/>
    <w:bookmarkEnd w:id="37"/>
    <w:bookmarkEnd w:id="38"/>
    <w:bookmarkEnd w:id="39"/>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FF0000"/>
          <w:szCs w:val="21"/>
        </w:rPr>
      </w:pPr>
      <w:r>
        <w:rPr>
          <w:rFonts w:ascii="宋体" w:hAnsi="宋体"/>
          <w:color w:val="000000"/>
          <w:szCs w:val="21"/>
        </w:rPr>
        <w:t xml:space="preserve">2.4.2 </w:t>
      </w:r>
      <w:r>
        <w:rPr>
          <w:rFonts w:ascii="宋体" w:hAnsi="宋体"/>
          <w:color w:val="000000" w:themeColor="text1"/>
          <w:szCs w:val="21"/>
          <w14:textFill>
            <w14:solidFill>
              <w14:schemeClr w14:val="tx1"/>
            </w14:solidFill>
          </w14:textFill>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1.发包人提供一处接水、接电的位置，并协助承包人办理相关手续。承包人自行安装计量表并承担安装费用和水电使用费用；2.施工场地与公共道路的通道开通；3.水准点与座标控制点交验</w:t>
      </w:r>
      <w:r>
        <w:rPr>
          <w:rFonts w:ascii="宋体" w:hAnsi="宋体"/>
          <w:color w:val="000000"/>
          <w:szCs w:val="21"/>
          <w:u w:val="single"/>
        </w:rPr>
        <w:t>。</w:t>
      </w:r>
    </w:p>
    <w:p>
      <w:pPr>
        <w:pStyle w:val="7"/>
        <w:spacing w:before="120" w:after="120" w:line="320" w:lineRule="exact"/>
        <w:rPr>
          <w:rFonts w:ascii="宋体" w:hAnsi="宋体"/>
          <w:b w:val="0"/>
          <w:color w:val="000000"/>
          <w:szCs w:val="21"/>
        </w:rPr>
      </w:pPr>
      <w:bookmarkStart w:id="40" w:name="_Toc351203635"/>
      <w:r>
        <w:rPr>
          <w:rFonts w:ascii="宋体" w:hAnsi="宋体"/>
          <w:b w:val="0"/>
          <w:color w:val="000000"/>
          <w:szCs w:val="21"/>
        </w:rPr>
        <w:t>3</w:t>
      </w:r>
      <w:bookmarkStart w:id="41" w:name="_Toc296503158"/>
      <w:bookmarkStart w:id="42" w:name="_Toc296347157"/>
      <w:bookmarkStart w:id="43" w:name="_Toc297048344"/>
      <w:bookmarkStart w:id="44" w:name="_Toc292559363"/>
      <w:bookmarkStart w:id="45" w:name="_Toc297120458"/>
      <w:bookmarkStart w:id="46" w:name="_Toc296891198"/>
      <w:bookmarkStart w:id="47" w:name="_Toc296346659"/>
      <w:bookmarkStart w:id="48" w:name="_Toc296944497"/>
      <w:bookmarkStart w:id="49" w:name="_Toc292559868"/>
      <w:bookmarkStart w:id="50" w:name="_Toc296890986"/>
      <w:r>
        <w:rPr>
          <w:rFonts w:ascii="宋体" w:hAnsi="宋体"/>
          <w:b w:val="0"/>
          <w:color w:val="000000"/>
          <w:szCs w:val="21"/>
        </w:rPr>
        <w:t>. 承包人</w:t>
      </w:r>
      <w:bookmarkEnd w:id="40"/>
    </w:p>
    <w:bookmarkEnd w:id="41"/>
    <w:bookmarkEnd w:id="42"/>
    <w:bookmarkEnd w:id="43"/>
    <w:bookmarkEnd w:id="44"/>
    <w:bookmarkEnd w:id="45"/>
    <w:bookmarkEnd w:id="46"/>
    <w:bookmarkEnd w:id="47"/>
    <w:bookmarkEnd w:id="48"/>
    <w:bookmarkEnd w:id="49"/>
    <w:bookmarkEnd w:id="50"/>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7"/>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themeColor="text1"/>
          <w:szCs w:val="21"/>
          <w14:textFill>
            <w14:solidFill>
              <w14:schemeClr w14:val="tx1"/>
            </w14:solidFill>
          </w14:textFill>
        </w:rPr>
      </w:pPr>
      <w:r>
        <w:rPr>
          <w:rFonts w:ascii="宋体" w:hAnsi="宋体"/>
          <w:color w:val="000000"/>
          <w:szCs w:val="21"/>
        </w:rPr>
        <w:t>姓    名：</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张建朝</w:t>
      </w:r>
      <w:r>
        <w:rPr>
          <w:rFonts w:ascii="宋体" w:hAnsi="宋体"/>
          <w:color w:val="000000" w:themeColor="text1"/>
          <w:szCs w:val="21"/>
          <w:u w:val="single"/>
          <w14:textFill>
            <w14:solidFill>
              <w14:schemeClr w14:val="tx1"/>
            </w14:solidFill>
          </w14:textFill>
        </w:rPr>
        <w:t></w:t>
      </w:r>
      <w:r>
        <w:rPr>
          <w:rFonts w:ascii="宋体" w:hAnsi="宋体"/>
          <w:color w:val="000000" w:themeColor="text1"/>
          <w:szCs w:val="21"/>
          <w14:textFill>
            <w14:solidFill>
              <w14:schemeClr w14:val="tx1"/>
            </w14:solidFill>
          </w14:textFill>
        </w:rPr>
        <w:t>；</w:t>
      </w:r>
    </w:p>
    <w:p>
      <w:pPr>
        <w:spacing w:line="320" w:lineRule="exact"/>
        <w:ind w:firstLine="420" w:firstLineChars="200"/>
        <w:rPr>
          <w:rFonts w:ascii="宋体" w:hAnsi="宋体"/>
          <w:szCs w:val="21"/>
        </w:rPr>
      </w:pPr>
      <w:r>
        <w:rPr>
          <w:rFonts w:ascii="宋体" w:hAnsi="宋体"/>
          <w:color w:val="000000" w:themeColor="text1"/>
          <w:szCs w:val="21"/>
          <w14:textFill>
            <w14:solidFill>
              <w14:schemeClr w14:val="tx1"/>
            </w14:solidFill>
          </w14:textFill>
        </w:rPr>
        <w:t>身份证号：</w:t>
      </w:r>
      <w:r>
        <w:rPr>
          <w:rFonts w:ascii="宋体" w:hAnsi="宋体"/>
          <w:color w:val="000000" w:themeColor="text1"/>
          <w:szCs w:val="21"/>
          <w:u w:val="single"/>
          <w14:textFill>
            <w14:solidFill>
              <w14:schemeClr w14:val="tx1"/>
            </w14:solidFill>
          </w14:textFill>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ascii="宋体" w:hAnsi="宋体"/>
          <w:color w:val="000000" w:themeColor="text1"/>
          <w:szCs w:val="21"/>
          <w:u w:val="single"/>
          <w14:textFill>
            <w14:solidFill>
              <w14:schemeClr w14:val="tx1"/>
            </w14:solidFill>
          </w14:textFill>
        </w:rPr>
        <w:t></w:t>
      </w:r>
      <w:r>
        <w:rPr>
          <w:rFonts w:hint="eastAsia" w:asciiTheme="minorEastAsia" w:hAnsiTheme="minorEastAsia" w:eastAsiaTheme="minorEastAsia"/>
          <w:color w:val="000000" w:themeColor="text1"/>
          <w:szCs w:val="21"/>
          <w:u w:val="single"/>
          <w14:textFill>
            <w14:solidFill>
              <w14:schemeClr w14:val="tx1"/>
            </w14:solidFill>
          </w14:textFill>
        </w:rPr>
        <w:t>豫241091445567</w:t>
      </w:r>
      <w:r>
        <w:rPr>
          <w:rFonts w:hint="eastAsia" w:ascii="宋体" w:hAnsi="宋体"/>
          <w:color w:val="000000" w:themeColor="text1"/>
          <w:szCs w:val="21"/>
          <w:u w:val="single"/>
          <w14:textFill>
            <w14:solidFill>
              <w14:schemeClr w14:val="tx1"/>
            </w14:solidFill>
          </w14:textFill>
        </w:rPr>
        <w:t></w:t>
      </w:r>
      <w:r>
        <w:rPr>
          <w:rFonts w:ascii="宋体" w:hAnsi="宋体"/>
          <w:color w:val="000000" w:themeColor="text1"/>
          <w:szCs w:val="21"/>
          <w:u w:val="single"/>
          <w14:textFill>
            <w14:solidFill>
              <w14:schemeClr w14:val="tx1"/>
            </w14:solidFill>
          </w14:textFill>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豫建安 B（2014）1909900</w:t>
      </w:r>
      <w:r>
        <w:rPr>
          <w:rFonts w:ascii="宋体" w:hAnsi="宋体"/>
          <w:color w:val="000000" w:themeColor="text1"/>
          <w:szCs w:val="21"/>
          <w:u w:val="single"/>
          <w14:textFill>
            <w14:solidFill>
              <w14:schemeClr w14:val="tx1"/>
            </w14:solidFill>
          </w14:textFill>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color w:val="FF0000"/>
          <w:szCs w:val="21"/>
          <w:u w:val="single"/>
        </w:rPr>
        <w:t></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lang w:val="en-US" w:eastAsia="zh-CN"/>
          <w14:textFill>
            <w14:solidFill>
              <w14:schemeClr w14:val="tx1"/>
            </w14:solidFill>
          </w14:textFill>
        </w:rPr>
        <w:t>13223099276</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51" w:name="_Toc292559364"/>
      <w:bookmarkStart w:id="52" w:name="_Toc300934945"/>
      <w:bookmarkStart w:id="53" w:name="_Toc296890987"/>
      <w:bookmarkStart w:id="54" w:name="_Toc292559869"/>
      <w:bookmarkStart w:id="55" w:name="_Toc304295523"/>
      <w:bookmarkStart w:id="56" w:name="_Toc297123492"/>
      <w:bookmarkStart w:id="57" w:name="_Toc296346660"/>
      <w:bookmarkStart w:id="58" w:name="_Toc297216151"/>
      <w:bookmarkStart w:id="59" w:name="_Toc303539102"/>
      <w:bookmarkStart w:id="60" w:name="_Toc296944498"/>
      <w:bookmarkStart w:id="61" w:name="_Toc297120459"/>
      <w:bookmarkStart w:id="62" w:name="_Toc296891199"/>
      <w:bookmarkStart w:id="63" w:name="_Toc297048345"/>
      <w:bookmarkStart w:id="64" w:name="_Toc296503159"/>
      <w:bookmarkStart w:id="65" w:name="_Toc296347158"/>
      <w:bookmarkStart w:id="66" w:name="_Toc312677988"/>
      <w:r>
        <w:rPr>
          <w:rFonts w:ascii="宋体" w:hAnsi="宋体"/>
          <w:color w:val="000000"/>
          <w:szCs w:val="21"/>
        </w:rPr>
        <w:t>.5 分包</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Pr>
        <w:spacing w:line="320" w:lineRule="exact"/>
        <w:ind w:firstLine="420" w:firstLineChars="200"/>
        <w:rPr>
          <w:rFonts w:ascii="宋体" w:hAnsi="宋体"/>
          <w:szCs w:val="21"/>
        </w:rPr>
      </w:pPr>
      <w:r>
        <w:rPr>
          <w:rFonts w:ascii="宋体" w:hAnsi="宋体"/>
          <w:szCs w:val="21"/>
        </w:rPr>
        <w:t>3</w:t>
      </w:r>
      <w:bookmarkStart w:id="67" w:name="_Toc304295524"/>
      <w:bookmarkStart w:id="68" w:name="_Toc296890988"/>
      <w:bookmarkStart w:id="69" w:name="_Toc296503160"/>
      <w:bookmarkStart w:id="70" w:name="_Toc300934946"/>
      <w:bookmarkStart w:id="71" w:name="_Toc297216152"/>
      <w:bookmarkStart w:id="72" w:name="_Toc297120460"/>
      <w:bookmarkStart w:id="73" w:name="_Toc303539103"/>
      <w:bookmarkStart w:id="74" w:name="_Toc292559365"/>
      <w:bookmarkStart w:id="75" w:name="_Toc297123493"/>
      <w:bookmarkStart w:id="76" w:name="_Toc318581158"/>
      <w:bookmarkStart w:id="77" w:name="_Toc297048346"/>
      <w:bookmarkStart w:id="78" w:name="_Toc296347159"/>
      <w:bookmarkStart w:id="79" w:name="_Toc296944499"/>
      <w:bookmarkStart w:id="80" w:name="_Toc296891200"/>
      <w:bookmarkStart w:id="81" w:name="_Toc292559870"/>
      <w:bookmarkStart w:id="82" w:name="_Toc312677989"/>
      <w:bookmarkStart w:id="83" w:name="_Toc296346661"/>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7"/>
        <w:spacing w:before="120" w:after="120" w:line="320" w:lineRule="exact"/>
        <w:rPr>
          <w:rFonts w:ascii="宋体" w:hAnsi="宋体"/>
          <w:b w:val="0"/>
          <w:color w:val="000000"/>
          <w:szCs w:val="21"/>
        </w:rPr>
      </w:pPr>
      <w:bookmarkStart w:id="84" w:name="_Toc351203636"/>
      <w:bookmarkStart w:id="85" w:name="_Toc49176400"/>
      <w:bookmarkStart w:id="86" w:name="_Toc50741003"/>
      <w:bookmarkStart w:id="87" w:name="_Toc51058330"/>
      <w:bookmarkStart w:id="88" w:name="_Toc267251418"/>
      <w:bookmarkStart w:id="89" w:name="_Toc351203637"/>
      <w:r>
        <w:rPr>
          <w:rFonts w:ascii="宋体" w:hAnsi="宋体"/>
          <w:b w:val="0"/>
          <w:color w:val="000000"/>
          <w:szCs w:val="21"/>
        </w:rPr>
        <w:t>4</w:t>
      </w:r>
      <w:bookmarkStart w:id="90" w:name="_Toc297048348"/>
      <w:bookmarkStart w:id="91" w:name="_Toc297120462"/>
      <w:bookmarkStart w:id="92" w:name="_Toc292559366"/>
      <w:bookmarkStart w:id="93" w:name="_Toc292559871"/>
      <w:bookmarkStart w:id="94" w:name="_Toc267251413"/>
      <w:bookmarkStart w:id="95" w:name="_Toc296346663"/>
      <w:bookmarkStart w:id="96" w:name="_Toc296347161"/>
      <w:bookmarkStart w:id="97" w:name="_Toc296503162"/>
      <w:bookmarkStart w:id="98" w:name="_Toc296890990"/>
      <w:bookmarkStart w:id="99" w:name="_Toc296891202"/>
      <w:bookmarkStart w:id="100" w:name="_Toc296944501"/>
      <w:r>
        <w:rPr>
          <w:rFonts w:ascii="宋体" w:hAnsi="宋体"/>
          <w:b w:val="0"/>
          <w:color w:val="000000"/>
          <w:szCs w:val="21"/>
        </w:rPr>
        <w:t>. 监</w:t>
      </w:r>
      <w:bookmarkEnd w:id="90"/>
      <w:bookmarkEnd w:id="91"/>
      <w:bookmarkEnd w:id="92"/>
      <w:bookmarkEnd w:id="93"/>
      <w:bookmarkEnd w:id="94"/>
      <w:bookmarkEnd w:id="95"/>
      <w:bookmarkEnd w:id="96"/>
      <w:bookmarkEnd w:id="97"/>
      <w:bookmarkEnd w:id="98"/>
      <w:bookmarkEnd w:id="99"/>
      <w:bookmarkEnd w:id="100"/>
      <w:r>
        <w:rPr>
          <w:rFonts w:ascii="宋体" w:hAnsi="宋体"/>
          <w:b w:val="0"/>
          <w:color w:val="000000"/>
          <w:szCs w:val="21"/>
        </w:rPr>
        <w:t>理人</w:t>
      </w:r>
      <w:bookmarkEnd w:id="84"/>
      <w:bookmarkEnd w:id="85"/>
      <w:bookmarkEnd w:id="86"/>
      <w:bookmarkEnd w:id="87"/>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szCs w:val="21"/>
        </w:rPr>
      </w:pPr>
      <w:r>
        <w:rPr>
          <w:rFonts w:ascii="宋体" w:hAnsi="宋体"/>
          <w:szCs w:val="21"/>
        </w:rPr>
        <w:t>关于监理人的监理内容：</w:t>
      </w:r>
      <w:r>
        <w:rPr>
          <w:rFonts w:hint="eastAsia" w:ascii="宋体" w:hAnsi="宋体"/>
          <w:color w:val="000000" w:themeColor="text1"/>
          <w:szCs w:val="21"/>
          <w:u w:val="single"/>
          <w14:textFill>
            <w14:solidFill>
              <w14:schemeClr w14:val="tx1"/>
            </w14:solidFill>
          </w14:textFill>
        </w:rPr>
        <w:t>详见监理合同</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关于监理人的监理权限：</w:t>
      </w:r>
      <w:r>
        <w:rPr>
          <w:rFonts w:hint="eastAsia" w:ascii="宋体" w:hAnsi="宋体"/>
          <w:szCs w:val="21"/>
          <w:u w:val="single"/>
        </w:rPr>
        <w:t>详见监理合同</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关于监理人在施工现场的办公场所、生活场所的提供和费用承担的约定：</w:t>
      </w:r>
      <w:r>
        <w:rPr>
          <w:rFonts w:hint="eastAsia" w:ascii="宋体" w:hAnsi="宋体"/>
          <w:szCs w:val="21"/>
          <w:u w:val="single"/>
        </w:rPr>
        <w:t>详见监理合同</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ascii="宋体" w:hAnsi="宋体"/>
          <w:color w:val="000000"/>
          <w:szCs w:val="21"/>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hint="eastAsia" w:ascii="宋体" w:hAnsi="宋体"/>
          <w:color w:val="000000"/>
          <w:szCs w:val="21"/>
          <w:u w:val="single"/>
          <w:lang w:val="en-US" w:eastAsia="zh-CN"/>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hint="eastAsia" w:ascii="宋体" w:hAnsi="宋体"/>
          <w:color w:val="000000"/>
          <w:szCs w:val="21"/>
          <w:u w:val="single"/>
          <w:lang w:val="en-US" w:eastAsia="zh-CN"/>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hint="eastAsia" w:ascii="宋体" w:hAnsi="宋体"/>
          <w:color w:val="000000"/>
          <w:szCs w:val="21"/>
          <w:u w:val="single"/>
          <w:lang w:val="en-US" w:eastAsia="zh-CN"/>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hint="eastAsia" w:ascii="宋体" w:hAnsi="宋体"/>
          <w:color w:val="000000"/>
          <w:szCs w:val="21"/>
          <w:u w:val="single"/>
          <w:lang w:val="en-US" w:eastAsia="zh-CN"/>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hint="eastAsia" w:ascii="宋体" w:hAnsi="宋体"/>
          <w:color w:val="000000"/>
          <w:szCs w:val="21"/>
          <w:u w:val="single"/>
          <w:lang w:val="en-US" w:eastAsia="zh-CN"/>
        </w:rPr>
        <w:t xml:space="preserve">           </w:t>
      </w:r>
      <w:r>
        <w:rPr>
          <w:rFonts w:ascii="宋体" w:hAnsi="宋体"/>
          <w:color w:val="000000"/>
          <w:szCs w:val="21"/>
        </w:rPr>
        <w:t>。</w:t>
      </w:r>
    </w:p>
    <w:p>
      <w:pPr>
        <w:pStyle w:val="7"/>
        <w:spacing w:before="120" w:after="120" w:line="320" w:lineRule="exact"/>
        <w:rPr>
          <w:rFonts w:ascii="宋体" w:hAnsi="宋体"/>
          <w:b w:val="0"/>
          <w:color w:val="000000"/>
          <w:szCs w:val="21"/>
        </w:rPr>
      </w:pPr>
      <w:r>
        <w:rPr>
          <w:rFonts w:ascii="宋体" w:hAnsi="宋体"/>
          <w:b w:val="0"/>
          <w:color w:val="000000"/>
          <w:szCs w:val="21"/>
        </w:rPr>
        <w:t>5</w:t>
      </w:r>
      <w:bookmarkEnd w:id="88"/>
      <w:bookmarkStart w:id="101" w:name="_Toc292559367"/>
      <w:bookmarkStart w:id="102" w:name="_Toc292559872"/>
      <w:bookmarkStart w:id="103" w:name="_Toc296347162"/>
      <w:bookmarkStart w:id="104" w:name="_Toc297048349"/>
      <w:bookmarkStart w:id="105" w:name="_Toc296944502"/>
      <w:bookmarkStart w:id="106" w:name="_Toc296891203"/>
      <w:bookmarkStart w:id="107" w:name="_Toc297120463"/>
      <w:bookmarkStart w:id="108" w:name="_Toc296346664"/>
      <w:bookmarkStart w:id="109" w:name="_Toc296503163"/>
      <w:bookmarkStart w:id="110" w:name="_Toc296890991"/>
      <w:r>
        <w:rPr>
          <w:rFonts w:ascii="宋体" w:hAnsi="宋体"/>
          <w:b w:val="0"/>
          <w:color w:val="000000"/>
          <w:szCs w:val="21"/>
        </w:rPr>
        <w:t>. 工程质量</w:t>
      </w:r>
      <w:bookmarkEnd w:id="89"/>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11" w:name="_Toc312677997"/>
      <w:bookmarkStart w:id="112" w:name="_Toc297123496"/>
      <w:bookmarkStart w:id="113" w:name="_Toc318581164"/>
      <w:bookmarkStart w:id="114" w:name="_Toc300934949"/>
      <w:bookmarkStart w:id="115" w:name="_Toc297216155"/>
      <w:bookmarkStart w:id="116" w:name="_Toc303539106"/>
      <w:bookmarkStart w:id="117" w:name="_Toc304295527"/>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7"/>
        <w:spacing w:before="120" w:after="120" w:line="320" w:lineRule="exact"/>
        <w:rPr>
          <w:rFonts w:ascii="宋体" w:hAnsi="宋体"/>
          <w:b w:val="0"/>
          <w:color w:val="000000"/>
          <w:szCs w:val="21"/>
        </w:rPr>
      </w:pPr>
      <w:bookmarkStart w:id="118" w:name="_Toc351203638"/>
      <w:r>
        <w:rPr>
          <w:rFonts w:ascii="宋体" w:hAnsi="宋体"/>
          <w:b w:val="0"/>
          <w:color w:val="000000"/>
          <w:szCs w:val="21"/>
        </w:rPr>
        <w:t>6. 安全文明施工与环境保护</w:t>
      </w:r>
      <w:bookmarkEnd w:id="118"/>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7"/>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7"/>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11"/>
    <w:bookmarkEnd w:id="112"/>
    <w:bookmarkEnd w:id="113"/>
    <w:bookmarkEnd w:id="114"/>
    <w:bookmarkEnd w:id="115"/>
    <w:bookmarkEnd w:id="116"/>
    <w:bookmarkEnd w:id="117"/>
    <w:p>
      <w:pPr>
        <w:pStyle w:val="7"/>
        <w:spacing w:before="120" w:after="120" w:line="320" w:lineRule="exact"/>
        <w:rPr>
          <w:rFonts w:ascii="宋体" w:hAnsi="宋体"/>
          <w:b w:val="0"/>
          <w:color w:val="000000"/>
          <w:szCs w:val="21"/>
        </w:rPr>
      </w:pPr>
      <w:bookmarkStart w:id="119" w:name="_Toc351203639"/>
      <w:r>
        <w:rPr>
          <w:rFonts w:ascii="宋体" w:hAnsi="宋体"/>
          <w:b w:val="0"/>
          <w:color w:val="000000"/>
          <w:szCs w:val="21"/>
        </w:rPr>
        <w:t>7. 工期和进度</w:t>
      </w:r>
      <w:bookmarkEnd w:id="119"/>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0" w:name="_Toc312677479"/>
      <w:bookmarkStart w:id="121" w:name="_Toc300934966"/>
      <w:bookmarkStart w:id="122" w:name="_Toc304295541"/>
      <w:bookmarkStart w:id="123" w:name="_Toc303539123"/>
      <w:bookmarkStart w:id="124" w:name="_Toc312678005"/>
      <w:bookmarkStart w:id="125" w:name="_Toc297216173"/>
      <w:bookmarkStart w:id="126" w:name="_Toc297123514"/>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20"/>
    <w:bookmarkEnd w:id="121"/>
    <w:bookmarkEnd w:id="122"/>
    <w:bookmarkEnd w:id="123"/>
    <w:bookmarkEnd w:id="124"/>
    <w:bookmarkEnd w:id="125"/>
    <w:bookmarkEnd w:id="126"/>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7" w:name="_Toc303539125"/>
      <w:bookmarkStart w:id="128" w:name="_Toc312677484"/>
      <w:bookmarkStart w:id="129" w:name="_Toc312678010"/>
      <w:bookmarkStart w:id="130" w:name="_Toc297123516"/>
      <w:bookmarkStart w:id="131" w:name="_Toc300934968"/>
      <w:bookmarkStart w:id="132" w:name="_Toc297216175"/>
      <w:bookmarkStart w:id="133" w:name="_Toc304295546"/>
      <w:r>
        <w:rPr>
          <w:rFonts w:ascii="宋体" w:hAnsi="宋体"/>
          <w:color w:val="000000"/>
          <w:szCs w:val="21"/>
        </w:rPr>
        <w:t>.5 工期延误</w:t>
      </w:r>
    </w:p>
    <w:bookmarkEnd w:id="127"/>
    <w:bookmarkEnd w:id="128"/>
    <w:bookmarkEnd w:id="129"/>
    <w:bookmarkEnd w:id="130"/>
    <w:bookmarkEnd w:id="131"/>
    <w:bookmarkEnd w:id="132"/>
    <w:bookmarkEnd w:id="133"/>
    <w:p>
      <w:pPr>
        <w:spacing w:line="320" w:lineRule="exact"/>
        <w:ind w:firstLine="420" w:firstLineChars="200"/>
        <w:jc w:val="left"/>
        <w:rPr>
          <w:rFonts w:ascii="宋体" w:hAnsi="宋体"/>
          <w:szCs w:val="21"/>
        </w:rPr>
      </w:pPr>
      <w:r>
        <w:rPr>
          <w:rFonts w:ascii="宋体" w:hAnsi="宋体"/>
          <w:szCs w:val="21"/>
        </w:rPr>
        <w:t>7</w:t>
      </w:r>
      <w:bookmarkStart w:id="134" w:name="_Toc312678012"/>
      <w:bookmarkStart w:id="135" w:name="_Toc312677486"/>
      <w:bookmarkStart w:id="136" w:name="_Toc318581169"/>
      <w:bookmarkStart w:id="137" w:name="_Toc303539127"/>
      <w:bookmarkStart w:id="138" w:name="_Toc300934970"/>
      <w:bookmarkStart w:id="139" w:name="_Toc297123518"/>
      <w:bookmarkStart w:id="140" w:name="_Toc304295548"/>
      <w:bookmarkStart w:id="141" w:name="_Toc297216177"/>
      <w:r>
        <w:rPr>
          <w:rFonts w:ascii="宋体" w:hAnsi="宋体"/>
          <w:szCs w:val="21"/>
        </w:rPr>
        <w:t>.5.2 因承包人原因导致工期延误</w:t>
      </w:r>
    </w:p>
    <w:bookmarkEnd w:id="134"/>
    <w:bookmarkEnd w:id="135"/>
    <w:bookmarkEnd w:id="136"/>
    <w:p>
      <w:pPr>
        <w:spacing w:line="320" w:lineRule="exact"/>
        <w:ind w:firstLine="420" w:firstLineChars="200"/>
        <w:jc w:val="left"/>
        <w:rPr>
          <w:rFonts w:ascii="宋体" w:hAnsi="宋体"/>
          <w:szCs w:val="21"/>
          <w:u w:val="single"/>
        </w:rPr>
      </w:pPr>
      <w:r>
        <w:rPr>
          <w:rFonts w:ascii="宋体" w:hAnsi="宋体"/>
          <w:szCs w:val="21"/>
        </w:rPr>
        <w:t>因</w:t>
      </w:r>
      <w:bookmarkStart w:id="142" w:name="_Toc312677487"/>
      <w:bookmarkStart w:id="143" w:name="_Toc312678013"/>
      <w:bookmarkStart w:id="144"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7"/>
      <w:bookmarkEnd w:id="138"/>
      <w:bookmarkEnd w:id="139"/>
      <w:bookmarkEnd w:id="140"/>
      <w:bookmarkEnd w:id="141"/>
      <w:bookmarkEnd w:id="142"/>
      <w:bookmarkEnd w:id="143"/>
    </w:p>
    <w:bookmarkEnd w:id="144"/>
    <w:p>
      <w:pPr>
        <w:spacing w:after="120" w:line="320" w:lineRule="exact"/>
        <w:ind w:firstLine="420" w:firstLineChars="200"/>
        <w:rPr>
          <w:rFonts w:ascii="宋体" w:hAnsi="宋体"/>
          <w:color w:val="000000"/>
          <w:szCs w:val="21"/>
        </w:rPr>
      </w:pPr>
      <w:r>
        <w:rPr>
          <w:rFonts w:ascii="宋体" w:hAnsi="宋体"/>
          <w:color w:val="000000"/>
          <w:szCs w:val="21"/>
        </w:rPr>
        <w:t>7</w:t>
      </w:r>
      <w:bookmarkStart w:id="145" w:name="_Toc300934973"/>
      <w:bookmarkStart w:id="146" w:name="_Toc297123521"/>
      <w:bookmarkStart w:id="147" w:name="_Toc312678017"/>
      <w:bookmarkStart w:id="148" w:name="_Toc304295551"/>
      <w:bookmarkStart w:id="149" w:name="_Toc297216180"/>
      <w:bookmarkStart w:id="150" w:name="_Toc303539130"/>
      <w:r>
        <w:rPr>
          <w:rFonts w:ascii="宋体" w:hAnsi="宋体"/>
          <w:color w:val="000000"/>
          <w:szCs w:val="21"/>
        </w:rPr>
        <w:t>.7异常恶劣的气候条件</w:t>
      </w:r>
    </w:p>
    <w:bookmarkEnd w:id="145"/>
    <w:bookmarkEnd w:id="146"/>
    <w:bookmarkEnd w:id="147"/>
    <w:bookmarkEnd w:id="148"/>
    <w:bookmarkEnd w:id="149"/>
    <w:bookmarkEnd w:id="150"/>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7"/>
        <w:spacing w:before="120" w:after="120" w:line="320" w:lineRule="exact"/>
        <w:rPr>
          <w:rFonts w:ascii="宋体" w:hAnsi="宋体"/>
          <w:b w:val="0"/>
          <w:color w:val="000000"/>
          <w:szCs w:val="21"/>
        </w:rPr>
      </w:pPr>
      <w:bookmarkStart w:id="151" w:name="_Toc351203640"/>
      <w:r>
        <w:rPr>
          <w:rFonts w:ascii="宋体" w:hAnsi="宋体"/>
          <w:b w:val="0"/>
          <w:color w:val="000000"/>
          <w:szCs w:val="21"/>
        </w:rPr>
        <w:t>8. 材料与设备</w:t>
      </w:r>
      <w:bookmarkEnd w:id="151"/>
    </w:p>
    <w:p>
      <w:pPr>
        <w:pStyle w:val="7"/>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101"/>
    <w:bookmarkEnd w:id="102"/>
    <w:bookmarkEnd w:id="103"/>
    <w:bookmarkEnd w:id="104"/>
    <w:bookmarkEnd w:id="105"/>
    <w:bookmarkEnd w:id="106"/>
    <w:bookmarkEnd w:id="107"/>
    <w:bookmarkEnd w:id="108"/>
    <w:bookmarkEnd w:id="109"/>
    <w:bookmarkEnd w:id="110"/>
    <w:p>
      <w:pPr>
        <w:spacing w:after="120" w:line="320" w:lineRule="exact"/>
        <w:ind w:firstLine="420" w:firstLineChars="200"/>
        <w:rPr>
          <w:rFonts w:ascii="宋体" w:hAnsi="宋体"/>
          <w:color w:val="000000"/>
          <w:szCs w:val="21"/>
        </w:rPr>
      </w:pPr>
      <w:r>
        <w:rPr>
          <w:rFonts w:ascii="宋体" w:hAnsi="宋体"/>
          <w:color w:val="000000"/>
          <w:szCs w:val="21"/>
        </w:rPr>
        <w:t>8</w:t>
      </w:r>
      <w:bookmarkStart w:id="152" w:name="_Toc296944506"/>
      <w:bookmarkStart w:id="153" w:name="_Toc300934979"/>
      <w:bookmarkStart w:id="154" w:name="_Toc297048353"/>
      <w:bookmarkStart w:id="155" w:name="_Toc297123527"/>
      <w:bookmarkStart w:id="156" w:name="_Toc280868654"/>
      <w:bookmarkStart w:id="157" w:name="_Toc312677493"/>
      <w:bookmarkStart w:id="158" w:name="_Toc296346668"/>
      <w:bookmarkStart w:id="159" w:name="_Toc292559877"/>
      <w:bookmarkStart w:id="160" w:name="_Toc292559372"/>
      <w:bookmarkStart w:id="161" w:name="_Toc296347166"/>
      <w:bookmarkStart w:id="162" w:name="_Toc296503167"/>
      <w:bookmarkStart w:id="163" w:name="_Toc296890995"/>
      <w:bookmarkStart w:id="164" w:name="_Toc297120467"/>
      <w:bookmarkStart w:id="165" w:name="_Toc296891207"/>
      <w:bookmarkStart w:id="166" w:name="_Toc297216186"/>
      <w:bookmarkStart w:id="167" w:name="_Toc312678019"/>
      <w:bookmarkStart w:id="168" w:name="_Toc304295556"/>
      <w:bookmarkStart w:id="169" w:name="_Toc303539136"/>
      <w:bookmarkStart w:id="170" w:name="_Toc280868656"/>
      <w:bookmarkStart w:id="171" w:name="_Toc280868655"/>
      <w:bookmarkStart w:id="172" w:name="_Toc267251424"/>
      <w:r>
        <w:rPr>
          <w:rFonts w:ascii="宋体" w:hAnsi="宋体"/>
          <w:color w:val="000000"/>
          <w:szCs w:val="21"/>
        </w:rPr>
        <w:t>.4材料与工程设备的保管与使用</w:t>
      </w:r>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Pr>
        <w:spacing w:line="320" w:lineRule="exact"/>
        <w:ind w:firstLine="420" w:firstLineChars="200"/>
        <w:jc w:val="left"/>
        <w:rPr>
          <w:rFonts w:ascii="宋体" w:hAnsi="宋体"/>
          <w:szCs w:val="21"/>
          <w:u w:val="single"/>
        </w:rPr>
      </w:pPr>
      <w:r>
        <w:rPr>
          <w:rFonts w:ascii="宋体" w:hAnsi="宋体"/>
          <w:szCs w:val="21"/>
        </w:rPr>
        <w:t>8</w:t>
      </w:r>
      <w:bookmarkStart w:id="173" w:name="_Toc292559878"/>
      <w:bookmarkStart w:id="174" w:name="_Toc292559373"/>
      <w:bookmarkStart w:id="175" w:name="_Toc296890996"/>
      <w:bookmarkStart w:id="176" w:name="_Toc312678020"/>
      <w:bookmarkStart w:id="177" w:name="_Toc296503168"/>
      <w:bookmarkStart w:id="178" w:name="_Toc296944507"/>
      <w:bookmarkStart w:id="179" w:name="_Toc296347167"/>
      <w:bookmarkStart w:id="180" w:name="_Toc296346669"/>
      <w:bookmarkStart w:id="181" w:name="_Toc300934980"/>
      <w:bookmarkStart w:id="182" w:name="_Toc297120468"/>
      <w:bookmarkStart w:id="183" w:name="_Toc296891208"/>
      <w:bookmarkStart w:id="184" w:name="_Toc304295557"/>
      <w:bookmarkStart w:id="185" w:name="_Toc297123528"/>
      <w:bookmarkStart w:id="186" w:name="_Toc312677494"/>
      <w:bookmarkStart w:id="187" w:name="_Toc303539137"/>
      <w:bookmarkStart w:id="188" w:name="_Toc297216187"/>
      <w:bookmarkStart w:id="189" w:name="_Toc297048354"/>
      <w:bookmarkStart w:id="190" w:name="_Toc318581173"/>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73"/>
      <w:bookmarkEnd w:id="174"/>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Pr>
        <w:pStyle w:val="7"/>
        <w:spacing w:before="120" w:after="120" w:line="320" w:lineRule="exact"/>
        <w:rPr>
          <w:rFonts w:ascii="宋体" w:hAnsi="宋体"/>
          <w:b w:val="0"/>
          <w:color w:val="000000"/>
          <w:szCs w:val="21"/>
        </w:rPr>
      </w:pPr>
      <w:bookmarkStart w:id="191" w:name="_Toc351203641"/>
      <w:r>
        <w:rPr>
          <w:rFonts w:ascii="宋体" w:hAnsi="宋体"/>
          <w:b w:val="0"/>
          <w:color w:val="000000"/>
          <w:szCs w:val="21"/>
        </w:rPr>
        <w:t>9</w:t>
      </w:r>
      <w:bookmarkEnd w:id="170"/>
      <w:bookmarkEnd w:id="171"/>
      <w:bookmarkEnd w:id="172"/>
      <w:bookmarkStart w:id="192" w:name="_Toc297123533"/>
      <w:bookmarkStart w:id="193" w:name="_Toc312677495"/>
      <w:bookmarkStart w:id="194" w:name="_Toc300934982"/>
      <w:bookmarkStart w:id="195" w:name="_Toc297216192"/>
      <w:bookmarkStart w:id="196" w:name="_Toc304295559"/>
      <w:bookmarkStart w:id="197" w:name="_Toc312678021"/>
      <w:bookmarkStart w:id="198" w:name="_Toc303539139"/>
      <w:bookmarkStart w:id="199" w:name="_Toc292559883"/>
      <w:bookmarkStart w:id="200" w:name="_Toc296944512"/>
      <w:bookmarkStart w:id="201" w:name="_Toc267251427"/>
      <w:bookmarkStart w:id="202" w:name="_Toc296503173"/>
      <w:bookmarkStart w:id="203" w:name="_Toc292559378"/>
      <w:bookmarkStart w:id="204" w:name="_Toc267251428"/>
      <w:bookmarkStart w:id="205" w:name="_Toc296347172"/>
      <w:bookmarkStart w:id="206" w:name="_Toc296891001"/>
      <w:bookmarkStart w:id="207" w:name="_Toc297120473"/>
      <w:bookmarkStart w:id="208" w:name="_Toc297048359"/>
      <w:bookmarkStart w:id="209" w:name="_Toc296346674"/>
      <w:bookmarkStart w:id="210" w:name="_Toc296891213"/>
      <w:r>
        <w:rPr>
          <w:rFonts w:ascii="宋体" w:hAnsi="宋体"/>
          <w:b w:val="0"/>
          <w:color w:val="000000"/>
          <w:szCs w:val="21"/>
        </w:rPr>
        <w:t>. 试验与检验</w:t>
      </w:r>
      <w:bookmarkEnd w:id="191"/>
    </w:p>
    <w:bookmarkEnd w:id="192"/>
    <w:bookmarkEnd w:id="193"/>
    <w:bookmarkEnd w:id="194"/>
    <w:bookmarkEnd w:id="195"/>
    <w:bookmarkEnd w:id="196"/>
    <w:bookmarkEnd w:id="197"/>
    <w:bookmarkEnd w:id="198"/>
    <w:p>
      <w:pPr>
        <w:spacing w:after="120" w:line="320" w:lineRule="exact"/>
        <w:ind w:firstLine="420" w:firstLineChars="200"/>
        <w:rPr>
          <w:rFonts w:ascii="宋体" w:hAnsi="宋体"/>
          <w:color w:val="000000"/>
          <w:szCs w:val="21"/>
        </w:rPr>
      </w:pPr>
      <w:r>
        <w:rPr>
          <w:rFonts w:ascii="宋体" w:hAnsi="宋体"/>
          <w:color w:val="000000"/>
          <w:szCs w:val="21"/>
        </w:rPr>
        <w:t>9</w:t>
      </w:r>
      <w:bookmarkStart w:id="211" w:name="_Toc300934983"/>
      <w:bookmarkStart w:id="212" w:name="_Toc312678022"/>
      <w:bookmarkStart w:id="213" w:name="_Toc312677496"/>
      <w:bookmarkStart w:id="214" w:name="_Toc304295560"/>
      <w:bookmarkStart w:id="215" w:name="_Toc297216193"/>
      <w:bookmarkStart w:id="216" w:name="_Toc303539140"/>
      <w:bookmarkStart w:id="217" w:name="_Toc297123534"/>
      <w:r>
        <w:rPr>
          <w:rFonts w:ascii="宋体" w:hAnsi="宋体"/>
          <w:color w:val="000000"/>
          <w:szCs w:val="21"/>
        </w:rPr>
        <w:t>.1试验设备与试验人员</w:t>
      </w:r>
    </w:p>
    <w:bookmarkEnd w:id="211"/>
    <w:bookmarkEnd w:id="212"/>
    <w:bookmarkEnd w:id="213"/>
    <w:bookmarkEnd w:id="214"/>
    <w:bookmarkEnd w:id="215"/>
    <w:bookmarkEnd w:id="216"/>
    <w:bookmarkEnd w:id="217"/>
    <w:p>
      <w:pPr>
        <w:spacing w:line="320" w:lineRule="exact"/>
        <w:ind w:firstLine="420" w:firstLineChars="200"/>
        <w:jc w:val="left"/>
        <w:rPr>
          <w:rFonts w:ascii="宋体" w:hAnsi="宋体"/>
          <w:szCs w:val="21"/>
        </w:rPr>
      </w:pPr>
      <w:r>
        <w:rPr>
          <w:rFonts w:ascii="宋体" w:hAnsi="宋体"/>
          <w:szCs w:val="21"/>
        </w:rPr>
        <w:t>9</w:t>
      </w:r>
      <w:bookmarkStart w:id="218" w:name="_Toc297216194"/>
      <w:bookmarkStart w:id="219" w:name="_Toc312677497"/>
      <w:bookmarkStart w:id="220" w:name="_Toc300934984"/>
      <w:bookmarkStart w:id="221" w:name="_Toc297123535"/>
      <w:bookmarkStart w:id="222" w:name="_Toc312678023"/>
      <w:bookmarkStart w:id="223" w:name="_Toc303539141"/>
      <w:bookmarkStart w:id="224" w:name="_Toc304295561"/>
      <w:bookmarkStart w:id="225"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18"/>
      <w:bookmarkEnd w:id="219"/>
      <w:bookmarkEnd w:id="220"/>
      <w:bookmarkEnd w:id="221"/>
      <w:bookmarkEnd w:id="222"/>
      <w:bookmarkEnd w:id="223"/>
      <w:bookmarkEnd w:id="224"/>
      <w:bookmarkStart w:id="226" w:name="_Toc312678024"/>
      <w:bookmarkStart w:id="227" w:name="_Toc303539142"/>
      <w:bookmarkStart w:id="228" w:name="_Toc304295562"/>
      <w:bookmarkStart w:id="229" w:name="_Toc297123536"/>
      <w:bookmarkStart w:id="230" w:name="_Toc300934985"/>
      <w:bookmarkStart w:id="231" w:name="_Toc297216195"/>
      <w:bookmarkStart w:id="232" w:name="_Toc312677498"/>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5"/>
    <w:bookmarkEnd w:id="226"/>
    <w:bookmarkEnd w:id="227"/>
    <w:bookmarkEnd w:id="228"/>
    <w:bookmarkEnd w:id="229"/>
    <w:bookmarkEnd w:id="230"/>
    <w:bookmarkEnd w:id="231"/>
    <w:bookmarkEnd w:id="232"/>
    <w:p>
      <w:pPr>
        <w:pStyle w:val="7"/>
        <w:spacing w:before="120" w:after="120" w:line="320" w:lineRule="exact"/>
        <w:rPr>
          <w:rFonts w:ascii="宋体" w:hAnsi="宋体"/>
          <w:b w:val="0"/>
          <w:color w:val="000000"/>
          <w:szCs w:val="21"/>
        </w:rPr>
      </w:pPr>
      <w:bookmarkStart w:id="233" w:name="_Toc351203642"/>
      <w:r>
        <w:rPr>
          <w:rFonts w:ascii="宋体" w:hAnsi="宋体"/>
          <w:b w:val="0"/>
          <w:color w:val="000000"/>
          <w:szCs w:val="21"/>
        </w:rPr>
        <w:t>1</w:t>
      </w:r>
      <w:bookmarkEnd w:id="199"/>
      <w:bookmarkEnd w:id="200"/>
      <w:bookmarkEnd w:id="201"/>
      <w:bookmarkEnd w:id="202"/>
      <w:bookmarkEnd w:id="203"/>
      <w:bookmarkEnd w:id="204"/>
      <w:bookmarkEnd w:id="205"/>
      <w:bookmarkEnd w:id="206"/>
      <w:bookmarkEnd w:id="207"/>
      <w:bookmarkEnd w:id="208"/>
      <w:bookmarkEnd w:id="209"/>
      <w:bookmarkEnd w:id="210"/>
      <w:bookmarkStart w:id="234" w:name="_Toc296347192"/>
      <w:bookmarkStart w:id="235" w:name="_Toc296503193"/>
      <w:bookmarkStart w:id="236" w:name="_Toc297123540"/>
      <w:bookmarkStart w:id="237" w:name="_Toc292559398"/>
      <w:bookmarkStart w:id="238" w:name="_Toc297216199"/>
      <w:bookmarkStart w:id="239" w:name="_Toc292559903"/>
      <w:bookmarkStart w:id="240" w:name="_Toc304295566"/>
      <w:bookmarkStart w:id="241" w:name="_Toc296346694"/>
      <w:bookmarkStart w:id="242" w:name="_Toc297120493"/>
      <w:bookmarkStart w:id="243" w:name="_Toc303539146"/>
      <w:bookmarkStart w:id="244" w:name="_Toc296944532"/>
      <w:bookmarkStart w:id="245" w:name="_Toc300934989"/>
      <w:bookmarkStart w:id="246" w:name="_Toc297048379"/>
      <w:bookmarkStart w:id="247" w:name="_Toc296891021"/>
      <w:bookmarkStart w:id="248" w:name="_Toc296891233"/>
      <w:bookmarkStart w:id="249" w:name="_Toc312677499"/>
      <w:bookmarkStart w:id="250" w:name="_Toc312678025"/>
      <w:bookmarkStart w:id="251" w:name="_Toc267251440"/>
      <w:bookmarkStart w:id="252" w:name="_Toc267251437"/>
      <w:bookmarkStart w:id="253" w:name="_Toc267251439"/>
      <w:bookmarkStart w:id="254" w:name="_Toc267251435"/>
      <w:bookmarkStart w:id="255" w:name="_Toc267251433"/>
      <w:bookmarkStart w:id="256" w:name="_Toc267251441"/>
      <w:bookmarkStart w:id="257" w:name="_Toc267251442"/>
      <w:r>
        <w:rPr>
          <w:rFonts w:ascii="宋体" w:hAnsi="宋体"/>
          <w:b w:val="0"/>
          <w:color w:val="000000"/>
          <w:szCs w:val="21"/>
        </w:rPr>
        <w:t>0. 变更</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bookmarkEnd w:id="249"/>
    <w:bookmarkEnd w:id="250"/>
    <w:p>
      <w:pPr>
        <w:spacing w:after="120" w:line="320" w:lineRule="exact"/>
        <w:ind w:firstLine="420" w:firstLineChars="200"/>
        <w:rPr>
          <w:rFonts w:ascii="宋体" w:hAnsi="宋体"/>
          <w:color w:val="000000"/>
          <w:szCs w:val="21"/>
        </w:rPr>
      </w:pPr>
      <w:r>
        <w:rPr>
          <w:rFonts w:ascii="宋体" w:hAnsi="宋体"/>
          <w:color w:val="000000"/>
          <w:szCs w:val="21"/>
        </w:rPr>
        <w:t>1</w:t>
      </w:r>
      <w:bookmarkStart w:id="258" w:name="_Toc296347193"/>
      <w:bookmarkStart w:id="259" w:name="_Toc312678026"/>
      <w:bookmarkStart w:id="260" w:name="_Toc296944533"/>
      <w:bookmarkStart w:id="261" w:name="_Toc297120494"/>
      <w:bookmarkStart w:id="262" w:name="_Toc312677500"/>
      <w:bookmarkStart w:id="263" w:name="_Toc304295567"/>
      <w:bookmarkStart w:id="264" w:name="_Toc296346695"/>
      <w:bookmarkStart w:id="265" w:name="_Toc297048380"/>
      <w:bookmarkStart w:id="266" w:name="_Toc303539147"/>
      <w:bookmarkStart w:id="267" w:name="_Toc297216200"/>
      <w:bookmarkStart w:id="268" w:name="_Toc297123541"/>
      <w:bookmarkStart w:id="269" w:name="_Toc296891234"/>
      <w:bookmarkStart w:id="270" w:name="_Toc292559904"/>
      <w:bookmarkStart w:id="271" w:name="_Toc292559399"/>
      <w:bookmarkStart w:id="272" w:name="_Toc300934990"/>
      <w:bookmarkStart w:id="273" w:name="_Toc296503194"/>
      <w:bookmarkStart w:id="274" w:name="_Toc296891022"/>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14:textFill>
            <w14:solidFill>
              <w14:schemeClr w14:val="tx1"/>
            </w14:solidFill>
          </w14:textFill>
        </w:rPr>
        <w:t>1-（最终报价-暂列金额-暂估价）/（第一次报价-暂列金额-暂估价）*100%；</w:t>
      </w:r>
    </w:p>
    <w:p>
      <w:pPr>
        <w:spacing w:line="360" w:lineRule="auto"/>
        <w:ind w:firstLine="422"/>
        <w:rPr>
          <w:rFonts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14:textFill>
            <w14:solidFill>
              <w14:schemeClr w14:val="tx1"/>
            </w14:solidFill>
          </w14:textFill>
        </w:rPr>
        <w:t>：1-（最终报价-暂列金额-暂估价）/（招标控制价-暂列金额-暂估价）*100%；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5" w:name="_Toc296944538"/>
      <w:bookmarkStart w:id="276" w:name="_Toc297048385"/>
      <w:bookmarkStart w:id="277" w:name="_Toc296347198"/>
      <w:bookmarkStart w:id="278" w:name="_Toc312677507"/>
      <w:bookmarkStart w:id="279" w:name="_Toc292559404"/>
      <w:bookmarkStart w:id="280" w:name="_Toc304295574"/>
      <w:bookmarkStart w:id="281" w:name="_Toc296503199"/>
      <w:bookmarkStart w:id="282" w:name="_Toc312678033"/>
      <w:bookmarkStart w:id="283" w:name="_Toc296891239"/>
      <w:bookmarkStart w:id="284" w:name="_Toc292559909"/>
      <w:bookmarkStart w:id="285" w:name="_Toc297120499"/>
      <w:bookmarkStart w:id="286" w:name="_Toc296346700"/>
      <w:bookmarkStart w:id="287" w:name="_Toc297123548"/>
      <w:bookmarkStart w:id="288" w:name="_Toc296891027"/>
      <w:bookmarkStart w:id="289" w:name="_Toc297216207"/>
      <w:bookmarkStart w:id="290" w:name="_Toc300934997"/>
      <w:bookmarkStart w:id="291" w:name="_Toc303539154"/>
      <w:r>
        <w:rPr>
          <w:rFonts w:ascii="宋体" w:hAnsi="宋体"/>
          <w:szCs w:val="21"/>
        </w:rPr>
        <w:t>0.7 暂估价</w:t>
      </w:r>
    </w:p>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Pr>
        <w:spacing w:line="320" w:lineRule="exact"/>
        <w:ind w:firstLine="420" w:firstLineChars="200"/>
        <w:jc w:val="left"/>
        <w:rPr>
          <w:rFonts w:ascii="宋体" w:hAnsi="宋体"/>
          <w:szCs w:val="21"/>
        </w:rPr>
      </w:pPr>
      <w:r>
        <w:rPr>
          <w:rFonts w:ascii="宋体" w:hAnsi="宋体"/>
          <w:kern w:val="0"/>
          <w:szCs w:val="21"/>
        </w:rPr>
        <w:t>暂</w:t>
      </w:r>
      <w:bookmarkStart w:id="292" w:name="_Toc318581176"/>
      <w:bookmarkStart w:id="293" w:name="_Toc312677508"/>
      <w:bookmarkStart w:id="294" w:name="_Toc312678034"/>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92"/>
    <w:bookmarkEnd w:id="293"/>
    <w:bookmarkEnd w:id="294"/>
    <w:p>
      <w:pPr>
        <w:spacing w:line="320" w:lineRule="exact"/>
        <w:ind w:firstLine="420" w:firstLineChars="200"/>
        <w:jc w:val="left"/>
        <w:rPr>
          <w:rFonts w:ascii="宋体" w:hAnsi="宋体"/>
          <w:szCs w:val="21"/>
        </w:rPr>
      </w:pPr>
      <w:r>
        <w:rPr>
          <w:rFonts w:ascii="宋体" w:hAnsi="宋体"/>
          <w:szCs w:val="21"/>
        </w:rPr>
        <w:t>1</w:t>
      </w:r>
      <w:bookmarkStart w:id="295" w:name="_Toc312677509"/>
      <w:bookmarkStart w:id="296" w:name="_Toc318581177"/>
      <w:bookmarkStart w:id="297" w:name="_Toc312678035"/>
      <w:r>
        <w:rPr>
          <w:rFonts w:ascii="宋体" w:hAnsi="宋体"/>
          <w:szCs w:val="21"/>
        </w:rPr>
        <w:t>0.7.1暂估价项目</w:t>
      </w:r>
    </w:p>
    <w:bookmarkEnd w:id="295"/>
    <w:bookmarkEnd w:id="296"/>
    <w:bookmarkEnd w:id="297"/>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7"/>
        <w:spacing w:before="120" w:after="120" w:line="320" w:lineRule="exact"/>
        <w:rPr>
          <w:rFonts w:ascii="宋体" w:hAnsi="宋体"/>
          <w:b w:val="0"/>
          <w:color w:val="000000"/>
          <w:szCs w:val="21"/>
        </w:rPr>
      </w:pPr>
      <w:bookmarkStart w:id="298" w:name="_Toc351203643"/>
      <w:r>
        <w:rPr>
          <w:rFonts w:ascii="宋体" w:hAnsi="宋体"/>
          <w:b w:val="0"/>
          <w:color w:val="000000"/>
          <w:szCs w:val="21"/>
        </w:rPr>
        <w:t>11. 价格调整</w:t>
      </w:r>
      <w:bookmarkEnd w:id="298"/>
    </w:p>
    <w:p>
      <w:pPr>
        <w:spacing w:after="120" w:line="320" w:lineRule="exact"/>
        <w:ind w:firstLine="420" w:firstLineChars="200"/>
        <w:rPr>
          <w:rFonts w:ascii="宋体" w:hAnsi="宋体"/>
          <w:color w:val="000000"/>
          <w:szCs w:val="21"/>
        </w:rPr>
      </w:pPr>
      <w:bookmarkStart w:id="299" w:name="_Toc296891029"/>
      <w:bookmarkStart w:id="300" w:name="_Toc297048387"/>
      <w:bookmarkStart w:id="301" w:name="_Toc297120501"/>
      <w:bookmarkStart w:id="302" w:name="_Toc312678039"/>
      <w:bookmarkStart w:id="303" w:name="_Toc297216209"/>
      <w:bookmarkStart w:id="304" w:name="_Toc303539157"/>
      <w:bookmarkStart w:id="305" w:name="_Toc296347200"/>
      <w:bookmarkStart w:id="306" w:name="_Toc296944540"/>
      <w:bookmarkStart w:id="307" w:name="_Toc297123550"/>
      <w:bookmarkStart w:id="308" w:name="_Toc292559911"/>
      <w:bookmarkStart w:id="309" w:name="_Toc296891241"/>
      <w:bookmarkStart w:id="310" w:name="_Toc292559406"/>
      <w:bookmarkStart w:id="311" w:name="_Toc296503201"/>
      <w:bookmarkStart w:id="312" w:name="_Toc300935000"/>
      <w:bookmarkStart w:id="313" w:name="_Toc296346702"/>
      <w:bookmarkStart w:id="314" w:name="_Toc304295577"/>
      <w:r>
        <w:rPr>
          <w:rFonts w:ascii="宋体" w:hAnsi="宋体"/>
          <w:color w:val="000000"/>
          <w:szCs w:val="21"/>
        </w:rPr>
        <w:t>11.1 市场价格波动引起的调整</w:t>
      </w:r>
    </w:p>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51"/>
    <w:bookmarkEnd w:id="252"/>
    <w:bookmarkEnd w:id="253"/>
    <w:bookmarkEnd w:id="254"/>
    <w:bookmarkEnd w:id="255"/>
    <w:bookmarkEnd w:id="256"/>
    <w:p>
      <w:pPr>
        <w:pStyle w:val="7"/>
        <w:spacing w:before="120" w:after="120" w:line="320" w:lineRule="exact"/>
        <w:rPr>
          <w:rFonts w:ascii="宋体" w:hAnsi="宋体"/>
          <w:b w:val="0"/>
          <w:color w:val="000000"/>
          <w:szCs w:val="21"/>
        </w:rPr>
      </w:pPr>
      <w:bookmarkStart w:id="315" w:name="_Toc296347204"/>
      <w:bookmarkStart w:id="316" w:name="_Toc297120505"/>
      <w:bookmarkStart w:id="317" w:name="_Toc297048391"/>
      <w:bookmarkStart w:id="318" w:name="_Toc296944544"/>
      <w:bookmarkStart w:id="319" w:name="_Toc292559410"/>
      <w:bookmarkStart w:id="320" w:name="_Toc296891245"/>
      <w:bookmarkStart w:id="321" w:name="_Toc292559915"/>
      <w:bookmarkStart w:id="322" w:name="_Toc296503205"/>
      <w:bookmarkStart w:id="323" w:name="_Toc296346706"/>
      <w:bookmarkStart w:id="324" w:name="_Toc296891033"/>
      <w:bookmarkStart w:id="325" w:name="_Toc351203644"/>
      <w:bookmarkStart w:id="326" w:name="_Toc297216211"/>
      <w:bookmarkStart w:id="327" w:name="_Toc300935002"/>
      <w:bookmarkStart w:id="328" w:name="_Toc312678040"/>
      <w:bookmarkStart w:id="329" w:name="_Toc304295579"/>
      <w:bookmarkStart w:id="330" w:name="_Toc303539159"/>
      <w:bookmarkStart w:id="331" w:name="_Toc297123552"/>
      <w:r>
        <w:rPr>
          <w:rFonts w:ascii="宋体" w:hAnsi="宋体"/>
          <w:b w:val="0"/>
          <w:color w:val="000000"/>
          <w:szCs w:val="21"/>
        </w:rPr>
        <w:t xml:space="preserve">12. </w:t>
      </w:r>
      <w:bookmarkEnd w:id="315"/>
      <w:bookmarkEnd w:id="316"/>
      <w:bookmarkEnd w:id="317"/>
      <w:bookmarkEnd w:id="318"/>
      <w:bookmarkEnd w:id="319"/>
      <w:bookmarkEnd w:id="320"/>
      <w:bookmarkEnd w:id="321"/>
      <w:bookmarkEnd w:id="322"/>
      <w:bookmarkEnd w:id="323"/>
      <w:bookmarkEnd w:id="324"/>
      <w:r>
        <w:rPr>
          <w:rFonts w:ascii="宋体" w:hAnsi="宋体"/>
          <w:b w:val="0"/>
          <w:color w:val="000000"/>
          <w:szCs w:val="21"/>
        </w:rPr>
        <w:t>合同价格、计量与支付</w:t>
      </w:r>
      <w:bookmarkEnd w:id="325"/>
    </w:p>
    <w:bookmarkEnd w:id="326"/>
    <w:bookmarkEnd w:id="327"/>
    <w:bookmarkEnd w:id="328"/>
    <w:bookmarkEnd w:id="329"/>
    <w:bookmarkEnd w:id="330"/>
    <w:bookmarkEnd w:id="331"/>
    <w:p>
      <w:pPr>
        <w:spacing w:line="320" w:lineRule="exact"/>
        <w:ind w:firstLine="420" w:firstLineChars="200"/>
        <w:jc w:val="left"/>
        <w:rPr>
          <w:rFonts w:ascii="宋体" w:hAnsi="宋体"/>
          <w:color w:val="000000"/>
          <w:szCs w:val="21"/>
        </w:rPr>
      </w:pPr>
      <w:bookmarkStart w:id="332" w:name="_Toc292559411"/>
      <w:bookmarkStart w:id="333" w:name="_Toc292559916"/>
      <w:bookmarkStart w:id="334" w:name="_Toc267251461"/>
      <w:bookmarkStart w:id="335" w:name="_Toc296891246"/>
      <w:bookmarkStart w:id="336" w:name="_Toc296503206"/>
      <w:bookmarkStart w:id="337" w:name="_Toc297120506"/>
      <w:bookmarkStart w:id="338" w:name="_Toc296891034"/>
      <w:bookmarkStart w:id="339" w:name="_Toc296944545"/>
      <w:bookmarkStart w:id="340" w:name="_Toc297048392"/>
      <w:bookmarkStart w:id="341" w:name="_Toc296347205"/>
      <w:bookmarkStart w:id="342" w:name="_Toc296346707"/>
      <w:bookmarkStart w:id="343" w:name="_Toc297216212"/>
      <w:bookmarkStart w:id="344" w:name="_Toc300935003"/>
      <w:bookmarkStart w:id="345" w:name="_Toc312678041"/>
      <w:bookmarkStart w:id="346" w:name="_Toc297123553"/>
      <w:bookmarkStart w:id="347" w:name="_Toc303539160"/>
      <w:bookmarkStart w:id="348" w:name="_Toc304295580"/>
      <w:r>
        <w:rPr>
          <w:rFonts w:ascii="宋体" w:hAnsi="宋体"/>
          <w:color w:val="000000"/>
          <w:szCs w:val="21"/>
        </w:rPr>
        <w:t>12.1 合</w:t>
      </w:r>
      <w:bookmarkEnd w:id="332"/>
      <w:bookmarkEnd w:id="333"/>
      <w:bookmarkEnd w:id="334"/>
      <w:r>
        <w:rPr>
          <w:rFonts w:ascii="宋体" w:hAnsi="宋体"/>
          <w:color w:val="000000"/>
          <w:szCs w:val="21"/>
        </w:rPr>
        <w:t>同价</w:t>
      </w:r>
      <w:bookmarkEnd w:id="335"/>
      <w:bookmarkEnd w:id="336"/>
      <w:bookmarkEnd w:id="337"/>
      <w:bookmarkEnd w:id="338"/>
      <w:bookmarkEnd w:id="339"/>
      <w:bookmarkEnd w:id="340"/>
      <w:bookmarkEnd w:id="341"/>
      <w:bookmarkEnd w:id="342"/>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43"/>
    <w:bookmarkEnd w:id="344"/>
    <w:bookmarkEnd w:id="345"/>
    <w:bookmarkEnd w:id="346"/>
    <w:bookmarkEnd w:id="347"/>
    <w:bookmarkEnd w:id="348"/>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12.4.4工程款支付时应预留审定价的3%作为质量保证金，工程质保期满后，再行支付给承包人。</w:t>
      </w:r>
    </w:p>
    <w:bookmarkEnd w:id="257"/>
    <w:p>
      <w:pPr>
        <w:pStyle w:val="7"/>
        <w:spacing w:before="120" w:after="120" w:line="320" w:lineRule="exact"/>
        <w:rPr>
          <w:rFonts w:ascii="宋体" w:hAnsi="宋体"/>
          <w:b w:val="0"/>
          <w:color w:val="000000"/>
          <w:szCs w:val="21"/>
        </w:rPr>
      </w:pPr>
      <w:bookmarkStart w:id="349" w:name="_Toc351203645"/>
      <w:bookmarkStart w:id="350" w:name="_Toc297120519"/>
      <w:bookmarkStart w:id="351" w:name="_Toc303539172"/>
      <w:bookmarkStart w:id="352" w:name="_Toc292559929"/>
      <w:bookmarkStart w:id="353" w:name="_Toc297123564"/>
      <w:bookmarkStart w:id="354" w:name="_Toc296891047"/>
      <w:bookmarkStart w:id="355" w:name="_Toc296347218"/>
      <w:bookmarkStart w:id="356" w:name="_Toc297048405"/>
      <w:bookmarkStart w:id="357" w:name="_Toc296503219"/>
      <w:bookmarkStart w:id="358" w:name="_Toc292559424"/>
      <w:bookmarkStart w:id="359" w:name="_Toc296944558"/>
      <w:bookmarkStart w:id="360" w:name="_Toc304295593"/>
      <w:bookmarkStart w:id="361" w:name="_Toc297216223"/>
      <w:bookmarkStart w:id="362" w:name="_Toc296891259"/>
      <w:bookmarkStart w:id="363" w:name="_Toc296346720"/>
      <w:bookmarkStart w:id="364" w:name="_Toc312678053"/>
      <w:bookmarkStart w:id="365" w:name="_Toc300935015"/>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49"/>
    </w:p>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6" w:name="_Toc296944562"/>
      <w:bookmarkStart w:id="367" w:name="_Toc297123565"/>
      <w:bookmarkStart w:id="368" w:name="_Toc297216224"/>
      <w:bookmarkStart w:id="369" w:name="_Toc304295596"/>
      <w:bookmarkStart w:id="370" w:name="_Toc296891051"/>
      <w:bookmarkStart w:id="371" w:name="_Toc296346724"/>
      <w:bookmarkStart w:id="372" w:name="_Toc297048409"/>
      <w:bookmarkStart w:id="373" w:name="_Toc292559933"/>
      <w:bookmarkStart w:id="374" w:name="_Toc296347222"/>
      <w:bookmarkStart w:id="375" w:name="_Toc303539173"/>
      <w:bookmarkStart w:id="376" w:name="_Toc296891263"/>
      <w:bookmarkStart w:id="377" w:name="_Toc312678056"/>
      <w:bookmarkStart w:id="378" w:name="_Toc296503223"/>
      <w:bookmarkStart w:id="379" w:name="_Toc292559428"/>
      <w:bookmarkStart w:id="380" w:name="_Toc300935016"/>
      <w:bookmarkStart w:id="381" w:name="_Toc297120523"/>
      <w:bookmarkStart w:id="382" w:name="_Toc267251475"/>
      <w:bookmarkStart w:id="383" w:name="_Toc267251473"/>
      <w:bookmarkStart w:id="384" w:name="_Toc267251472"/>
      <w:bookmarkStart w:id="385" w:name="_Toc267251471"/>
      <w:bookmarkStart w:id="386" w:name="_Toc267251470"/>
      <w:bookmarkStart w:id="387" w:name="_Toc267251476"/>
      <w:bookmarkStart w:id="388" w:name="_Toc267251474"/>
      <w:r>
        <w:rPr>
          <w:rFonts w:ascii="宋体" w:hAnsi="宋体"/>
          <w:color w:val="000000"/>
          <w:szCs w:val="21"/>
        </w:rPr>
        <w:t>13.2 竣工验收</w:t>
      </w:r>
    </w:p>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Pr>
        <w:spacing w:line="320" w:lineRule="exact"/>
        <w:ind w:firstLine="422" w:firstLineChars="200"/>
        <w:jc w:val="left"/>
        <w:rPr>
          <w:rFonts w:ascii="宋体" w:hAnsi="宋体"/>
          <w:b/>
          <w:szCs w:val="21"/>
          <w:u w:val="single"/>
        </w:rPr>
      </w:pPr>
      <w:bookmarkStart w:id="389" w:name="_Toc280868708"/>
      <w:bookmarkStart w:id="390" w:name="_Toc280868706"/>
      <w:bookmarkStart w:id="391" w:name="_Toc280868707"/>
      <w:bookmarkStart w:id="392"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89"/>
    <w:bookmarkEnd w:id="390"/>
    <w:bookmarkEnd w:id="391"/>
    <w:p>
      <w:pPr>
        <w:pStyle w:val="7"/>
        <w:spacing w:before="120" w:after="120" w:line="320" w:lineRule="exact"/>
        <w:rPr>
          <w:rFonts w:ascii="宋体" w:hAnsi="宋体"/>
          <w:b w:val="0"/>
          <w:color w:val="000000"/>
          <w:szCs w:val="21"/>
        </w:rPr>
      </w:pPr>
      <w:bookmarkStart w:id="393" w:name="_Toc351203646"/>
      <w:r>
        <w:rPr>
          <w:rFonts w:ascii="宋体" w:hAnsi="宋体"/>
          <w:b w:val="0"/>
          <w:color w:val="000000"/>
          <w:szCs w:val="21"/>
        </w:rPr>
        <w:t>14. 竣工结算</w:t>
      </w:r>
      <w:bookmarkEnd w:id="393"/>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82"/>
    <w:bookmarkEnd w:id="383"/>
    <w:bookmarkEnd w:id="384"/>
    <w:bookmarkEnd w:id="385"/>
    <w:bookmarkEnd w:id="386"/>
    <w:bookmarkEnd w:id="387"/>
    <w:bookmarkEnd w:id="388"/>
    <w:bookmarkEnd w:id="392"/>
    <w:p>
      <w:pPr>
        <w:pStyle w:val="7"/>
        <w:spacing w:before="120" w:after="120" w:line="320" w:lineRule="exact"/>
        <w:rPr>
          <w:rFonts w:ascii="宋体" w:hAnsi="宋体"/>
          <w:b w:val="0"/>
          <w:color w:val="000000"/>
          <w:szCs w:val="21"/>
        </w:rPr>
      </w:pPr>
      <w:bookmarkStart w:id="394" w:name="_Toc351203647"/>
      <w:bookmarkStart w:id="395" w:name="_Toc267251483"/>
      <w:bookmarkStart w:id="396" w:name="_Toc267251482"/>
      <w:bookmarkStart w:id="397" w:name="_Toc267251486"/>
      <w:bookmarkStart w:id="398" w:name="_Toc267251484"/>
      <w:bookmarkStart w:id="399" w:name="_Toc267251489"/>
      <w:bookmarkStart w:id="400" w:name="_Toc267251488"/>
      <w:bookmarkStart w:id="401" w:name="_Toc267251485"/>
      <w:bookmarkStart w:id="402" w:name="_Toc267251490"/>
      <w:bookmarkStart w:id="403" w:name="_Toc267251493"/>
      <w:bookmarkStart w:id="404" w:name="_Toc267251499"/>
      <w:bookmarkStart w:id="405" w:name="_Toc267251498"/>
      <w:bookmarkStart w:id="406" w:name="_Toc267251496"/>
      <w:bookmarkStart w:id="407" w:name="_Toc267251491"/>
      <w:bookmarkStart w:id="408" w:name="_Toc267251495"/>
      <w:bookmarkStart w:id="409" w:name="_Toc267251497"/>
      <w:bookmarkStart w:id="410" w:name="_Toc267251503"/>
      <w:bookmarkStart w:id="411" w:name="_Toc267251494"/>
      <w:bookmarkStart w:id="412" w:name="_Toc267251501"/>
      <w:bookmarkStart w:id="413" w:name="_Toc267251492"/>
      <w:bookmarkStart w:id="414" w:name="_Toc267251502"/>
      <w:bookmarkStart w:id="415" w:name="_Toc267251504"/>
      <w:bookmarkStart w:id="416" w:name="_Toc267251508"/>
      <w:bookmarkStart w:id="417" w:name="_Toc267251506"/>
      <w:bookmarkStart w:id="418" w:name="_Toc267251507"/>
      <w:bookmarkStart w:id="419" w:name="_Toc267251515"/>
      <w:bookmarkStart w:id="420" w:name="_Toc267251510"/>
      <w:bookmarkStart w:id="421" w:name="_Toc267251511"/>
      <w:bookmarkStart w:id="422" w:name="_Toc267251513"/>
      <w:bookmarkStart w:id="423" w:name="_Toc267251509"/>
      <w:bookmarkStart w:id="424" w:name="_Toc267251514"/>
      <w:r>
        <w:rPr>
          <w:rFonts w:ascii="宋体" w:hAnsi="宋体"/>
          <w:b w:val="0"/>
          <w:color w:val="000000"/>
          <w:szCs w:val="21"/>
        </w:rPr>
        <w:t>15. 缺陷责任期与保修</w:t>
      </w:r>
      <w:bookmarkEnd w:id="394"/>
    </w:p>
    <w:bookmarkEnd w:id="395"/>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6"/>
    <w:bookmarkEnd w:id="397"/>
    <w:bookmarkEnd w:id="398"/>
    <w:bookmarkEnd w:id="399"/>
    <w:bookmarkEnd w:id="400"/>
    <w:bookmarkEnd w:id="401"/>
    <w:bookmarkEnd w:id="402"/>
    <w:p>
      <w:pPr>
        <w:pStyle w:val="7"/>
        <w:spacing w:before="120" w:after="120" w:line="320" w:lineRule="exact"/>
        <w:rPr>
          <w:rFonts w:ascii="宋体" w:hAnsi="宋体"/>
          <w:b w:val="0"/>
          <w:color w:val="000000"/>
          <w:szCs w:val="21"/>
        </w:rPr>
      </w:pPr>
      <w:bookmarkStart w:id="425" w:name="_Toc351203648"/>
      <w:bookmarkStart w:id="426" w:name="_Toc280868717"/>
      <w:bookmarkStart w:id="427" w:name="_Toc280868718"/>
      <w:r>
        <w:rPr>
          <w:rFonts w:ascii="宋体" w:hAnsi="宋体"/>
          <w:b w:val="0"/>
          <w:color w:val="000000"/>
          <w:szCs w:val="21"/>
        </w:rPr>
        <w:t>16. 违约</w:t>
      </w:r>
      <w:bookmarkEnd w:id="425"/>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7"/>
        <w:spacing w:before="120" w:after="120" w:line="240" w:lineRule="auto"/>
        <w:rPr>
          <w:rFonts w:ascii="宋体" w:hAnsi="宋体"/>
          <w:b w:val="0"/>
          <w:color w:val="000000"/>
          <w:szCs w:val="21"/>
        </w:rPr>
      </w:pPr>
      <w:bookmarkStart w:id="428" w:name="_Toc351203649"/>
      <w:r>
        <w:rPr>
          <w:rFonts w:ascii="宋体" w:hAnsi="宋体"/>
          <w:b w:val="0"/>
          <w:color w:val="000000"/>
          <w:szCs w:val="21"/>
        </w:rPr>
        <w:t>17. 不可抗力</w:t>
      </w:r>
      <w:bookmarkEnd w:id="428"/>
      <w:r>
        <w:rPr>
          <w:rFonts w:ascii="宋体" w:hAnsi="宋体"/>
          <w:b w:val="0"/>
          <w:color w:val="000000"/>
          <w:szCs w:val="21"/>
        </w:rPr>
        <w:t xml:space="preserve"> </w:t>
      </w:r>
      <w:bookmarkEnd w:id="426"/>
    </w:p>
    <w:p>
      <w:pPr>
        <w:spacing w:after="120"/>
        <w:ind w:firstLine="420" w:firstLineChars="200"/>
        <w:rPr>
          <w:rFonts w:ascii="宋体" w:hAnsi="宋体"/>
          <w:color w:val="000000"/>
          <w:szCs w:val="21"/>
        </w:rPr>
      </w:pPr>
      <w:r>
        <w:rPr>
          <w:rFonts w:ascii="宋体" w:hAnsi="宋体"/>
          <w:color w:val="000000"/>
          <w:szCs w:val="21"/>
        </w:rPr>
        <w:t>17.1 不可抗力的确认</w:t>
      </w:r>
    </w:p>
    <w:p>
      <w:pPr>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7"/>
        <w:spacing w:before="120" w:after="120" w:line="240" w:lineRule="auto"/>
        <w:rPr>
          <w:rFonts w:ascii="宋体" w:hAnsi="宋体"/>
          <w:b w:val="0"/>
          <w:color w:val="000000"/>
          <w:szCs w:val="21"/>
        </w:rPr>
      </w:pPr>
      <w:bookmarkStart w:id="429" w:name="_Toc351203650"/>
      <w:r>
        <w:rPr>
          <w:rFonts w:ascii="宋体" w:hAnsi="宋体"/>
          <w:b w:val="0"/>
          <w:color w:val="000000"/>
          <w:szCs w:val="21"/>
        </w:rPr>
        <w:t>18. 保险</w:t>
      </w:r>
      <w:bookmarkEnd w:id="429"/>
    </w:p>
    <w:bookmarkEnd w:id="427"/>
    <w:p>
      <w:pPr>
        <w:spacing w:after="120"/>
        <w:ind w:firstLine="420" w:firstLineChars="200"/>
        <w:rPr>
          <w:rFonts w:ascii="宋体" w:hAnsi="宋体"/>
          <w:color w:val="000000"/>
          <w:szCs w:val="21"/>
        </w:rPr>
      </w:pPr>
      <w:r>
        <w:rPr>
          <w:rFonts w:ascii="宋体" w:hAnsi="宋体"/>
          <w:color w:val="000000"/>
          <w:szCs w:val="21"/>
        </w:rPr>
        <w:t>18.1 工程保险</w:t>
      </w:r>
    </w:p>
    <w:p>
      <w:pPr>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ind w:firstLine="420" w:firstLineChars="200"/>
        <w:rPr>
          <w:rFonts w:ascii="宋体" w:hAnsi="宋体"/>
          <w:color w:val="000000"/>
          <w:szCs w:val="21"/>
        </w:rPr>
      </w:pPr>
      <w:r>
        <w:rPr>
          <w:rFonts w:ascii="宋体" w:hAnsi="宋体"/>
          <w:color w:val="000000"/>
          <w:szCs w:val="21"/>
        </w:rPr>
        <w:t>18.3 其他保险</w:t>
      </w:r>
    </w:p>
    <w:p>
      <w:pPr>
        <w:spacing w:line="360" w:lineRule="auto"/>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60" w:lineRule="auto"/>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60" w:lineRule="auto"/>
        <w:ind w:firstLine="420" w:firstLineChars="200"/>
        <w:rPr>
          <w:rFonts w:ascii="宋体" w:hAnsi="宋体"/>
          <w:color w:val="000000"/>
          <w:szCs w:val="21"/>
        </w:rPr>
      </w:pPr>
      <w:r>
        <w:rPr>
          <w:rFonts w:ascii="宋体" w:hAnsi="宋体"/>
          <w:color w:val="000000"/>
          <w:szCs w:val="21"/>
        </w:rPr>
        <w:t>18.7 通知义务</w:t>
      </w:r>
    </w:p>
    <w:p>
      <w:pPr>
        <w:spacing w:line="360" w:lineRule="auto"/>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403"/>
    <w:bookmarkEnd w:id="404"/>
    <w:bookmarkEnd w:id="405"/>
    <w:bookmarkEnd w:id="406"/>
    <w:bookmarkEnd w:id="407"/>
    <w:bookmarkEnd w:id="408"/>
    <w:bookmarkEnd w:id="409"/>
    <w:bookmarkEnd w:id="410"/>
    <w:bookmarkEnd w:id="411"/>
    <w:bookmarkEnd w:id="412"/>
    <w:bookmarkEnd w:id="413"/>
    <w:bookmarkEnd w:id="414"/>
    <w:p>
      <w:pPr>
        <w:pStyle w:val="7"/>
        <w:spacing w:before="120" w:after="120"/>
        <w:rPr>
          <w:rFonts w:ascii="宋体" w:hAnsi="宋体"/>
          <w:b w:val="0"/>
          <w:color w:val="000000"/>
          <w:szCs w:val="21"/>
        </w:rPr>
      </w:pPr>
      <w:bookmarkStart w:id="430" w:name="_Toc351203651"/>
      <w:r>
        <w:rPr>
          <w:rFonts w:ascii="宋体" w:hAnsi="宋体"/>
          <w:b w:val="0"/>
          <w:color w:val="000000"/>
          <w:szCs w:val="21"/>
        </w:rPr>
        <w:t>20. 争议解决</w:t>
      </w:r>
      <w:bookmarkEnd w:id="430"/>
    </w:p>
    <w:bookmarkEnd w:id="415"/>
    <w:bookmarkEnd w:id="416"/>
    <w:bookmarkEnd w:id="417"/>
    <w:bookmarkEnd w:id="418"/>
    <w:p>
      <w:pPr>
        <w:spacing w:after="120" w:line="360" w:lineRule="auto"/>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19"/>
      <w:bookmarkEnd w:id="420"/>
      <w:bookmarkEnd w:id="421"/>
      <w:bookmarkEnd w:id="422"/>
      <w:bookmarkEnd w:id="423"/>
      <w:bookmarkEnd w:id="424"/>
    </w:p>
    <w:p>
      <w:pPr>
        <w:spacing w:line="360" w:lineRule="auto"/>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18"/>
    <w:p>
      <w:pPr>
        <w:spacing w:line="360" w:lineRule="auto"/>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360" w:lineRule="auto"/>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360" w:lineRule="auto"/>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rPr>
        <w:t>对施工现场消防用具采取保护措施（自动报警装置、淋浴头、应急灯等）。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360" w:lineRule="auto"/>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19"/>
      </w:pPr>
    </w:p>
    <w:p>
      <w:pPr>
        <w:pStyle w:val="19"/>
      </w:pPr>
    </w:p>
    <w:p>
      <w:pPr>
        <w:pStyle w:val="19"/>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color w:val="FF0000"/>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河南新隆建工集团有限公司</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color w:val="000000" w:themeColor="text1"/>
          <w:szCs w:val="21"/>
          <w:u w:val="single"/>
          <w14:textFill>
            <w14:solidFill>
              <w14:schemeClr w14:val="tx1"/>
            </w14:solidFill>
          </w14:textFill>
        </w:rPr>
        <w:t>郑州大学后勤管理处东校区学生宿舍6、7号楼维修改造工程</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color w:val="000000" w:themeColor="text1"/>
          <w:szCs w:val="21"/>
          <w:u w:val="single"/>
          <w14:textFill>
            <w14:solidFill>
              <w14:schemeClr w14:val="tx1"/>
            </w14:solidFill>
          </w14:textFill>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tbl>
      <w:tblPr>
        <w:tblStyle w:val="20"/>
        <w:tblpPr w:leftFromText="180" w:rightFromText="180" w:vertAnchor="text" w:horzAnchor="margin" w:tblpY="1940"/>
        <w:tblW w:w="10084" w:type="dxa"/>
        <w:tblInd w:w="0" w:type="dxa"/>
        <w:tblLayout w:type="autofit"/>
        <w:tblCellMar>
          <w:top w:w="0" w:type="dxa"/>
          <w:left w:w="108" w:type="dxa"/>
          <w:bottom w:w="0" w:type="dxa"/>
          <w:right w:w="108" w:type="dxa"/>
        </w:tblCellMar>
      </w:tblPr>
      <w:tblGrid>
        <w:gridCol w:w="4404"/>
        <w:gridCol w:w="5680"/>
      </w:tblGrid>
      <w:tr>
        <w:trPr>
          <w:trHeight w:val="369" w:hRule="atLeast"/>
        </w:trPr>
        <w:tc>
          <w:tcPr>
            <w:tcW w:w="4404" w:type="dxa"/>
          </w:tcPr>
          <w:p>
            <w:pPr>
              <w:rPr>
                <w:szCs w:val="21"/>
              </w:rPr>
            </w:pPr>
          </w:p>
        </w:tc>
        <w:tc>
          <w:tcPr>
            <w:tcW w:w="5680" w:type="dxa"/>
          </w:tcPr>
          <w:p>
            <w:pPr>
              <w:rPr>
                <w:szCs w:val="21"/>
              </w:rPr>
            </w:pPr>
          </w:p>
        </w:tc>
      </w:tr>
    </w:tbl>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widowControl/>
        <w:jc w:val="left"/>
        <w:rPr>
          <w:rFonts w:ascii="宋体" w:hAnsi="宋体" w:cs="宋体"/>
          <w:szCs w:val="21"/>
        </w:rPr>
      </w:pPr>
      <w:r>
        <w:rPr>
          <w:rFonts w:ascii="宋体" w:hAnsi="宋体" w:cs="宋体"/>
          <w:szCs w:val="21"/>
        </w:rPr>
        <w:br w:type="page"/>
      </w:r>
    </w:p>
    <w:p>
      <w:pPr>
        <w:rPr>
          <w:rFonts w:hint="eastAsia" w:ascii="宋体" w:hAnsi="宋体" w:cs="宋体"/>
          <w:szCs w:val="21"/>
        </w:rPr>
      </w:pPr>
      <w:r>
        <w:drawing>
          <wp:inline distT="0" distB="0" distL="114300" distR="114300">
            <wp:extent cx="5262245" cy="7437755"/>
            <wp:effectExtent l="0" t="0" r="1460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p>
    <w:p>
      <w:pPr>
        <w:rPr>
          <w:rFonts w:hint="eastAsia" w:ascii="宋体" w:hAnsi="宋体" w:cs="宋体"/>
          <w:szCs w:val="21"/>
        </w:rPr>
      </w:pPr>
      <w:r>
        <w:rPr>
          <w:rFonts w:hint="eastAsia" w:ascii="宋体" w:hAnsi="宋体" w:cs="宋体"/>
          <w:szCs w:val="21"/>
        </w:rPr>
        <w:br w:type="page"/>
      </w:r>
    </w:p>
    <w:p>
      <w:pPr>
        <w:spacing w:beforeLines="50" w:afterLines="50" w:line="440" w:lineRule="exact"/>
        <w:rPr>
          <w:rFonts w:ascii="宋体" w:hAnsi="宋体" w:cs="宋体"/>
          <w:color w:val="000000" w:themeColor="text1"/>
          <w:szCs w:val="21"/>
          <w14:textFill>
            <w14:solidFill>
              <w14:schemeClr w14:val="tx1"/>
            </w14:solidFill>
          </w14:textFill>
        </w:rPr>
      </w:pPr>
      <w:bookmarkStart w:id="431" w:name="_GoBack"/>
      <w:bookmarkEnd w:id="431"/>
      <w:r>
        <w:rPr>
          <w:rFonts w:hint="eastAsia" w:ascii="宋体" w:hAnsi="宋体" w:cs="宋体"/>
          <w:szCs w:val="21"/>
        </w:rPr>
        <w:t>附件</w:t>
      </w:r>
      <w:r>
        <w:rPr>
          <w:rFonts w:ascii="宋体" w:hAnsi="宋体" w:cs="宋体"/>
          <w:szCs w:val="21"/>
        </w:rPr>
        <w:t>2</w:t>
      </w:r>
      <w:r>
        <w:rPr>
          <w:rFonts w:hint="eastAsia" w:ascii="宋体" w:hAnsi="宋体" w:cs="宋体"/>
          <w:szCs w:val="21"/>
        </w:rPr>
        <w:t xml:space="preserve">：              </w:t>
      </w:r>
      <w:r>
        <w:rPr>
          <w:rFonts w:hint="eastAsia" w:ascii="宋体" w:hAnsi="宋体" w:cs="宋体"/>
          <w:color w:val="000000" w:themeColor="text1"/>
          <w:szCs w:val="21"/>
          <w14:textFill>
            <w14:solidFill>
              <w14:schemeClr w14:val="tx1"/>
            </w14:solidFill>
          </w14:textFill>
        </w:rPr>
        <w:t xml:space="preserve"> 承包人承揽工程项目一览表</w:t>
      </w:r>
    </w:p>
    <w:tbl>
      <w:tblPr>
        <w:tblStyle w:val="20"/>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ascii="宋体" w:hAnsi="宋体" w:cs="宋体"/>
                <w:kern w:val="0"/>
                <w:szCs w:val="21"/>
              </w:rPr>
            </w:pPr>
            <w:r>
              <w:rPr>
                <w:rFonts w:hint="eastAsia" w:ascii="宋体" w:hAnsi="宋体"/>
                <w:color w:val="000000" w:themeColor="text1"/>
                <w:szCs w:val="21"/>
                <w14:textFill>
                  <w14:solidFill>
                    <w14:schemeClr w14:val="tx1"/>
                  </w14:solidFill>
                </w14:textFill>
              </w:rPr>
              <w:t>郑州大学后勤管理处东校区学生宿舍6、7号楼维修改造工程</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2497000</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2022年1月10日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2022年3月10日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rPr>
          <w:rFonts w:ascii="宋体" w:hAnsi="宋体" w:cs="宋体"/>
          <w:sz w:val="30"/>
          <w:szCs w:val="30"/>
        </w:rPr>
      </w:pPr>
      <w:r>
        <w:rPr>
          <w:rFonts w:hint="eastAsia" w:ascii="宋体" w:hAnsi="宋体" w:cs="宋体"/>
          <w:sz w:val="30"/>
          <w:szCs w:val="30"/>
        </w:rPr>
        <w:br w:type="page"/>
      </w:r>
    </w:p>
    <w:p>
      <w:pPr>
        <w:widowControl/>
        <w:jc w:val="left"/>
        <w:rPr>
          <w:rFonts w:ascii="宋体" w:hAnsi="宋体" w:cs="宋体"/>
          <w:sz w:val="30"/>
          <w:szCs w:val="30"/>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spacing w:line="440" w:lineRule="exact"/>
        <w:rPr>
          <w:rFonts w:ascii="宋体" w:hAnsi="宋体" w:cs="宋体"/>
          <w:color w:val="000000" w:themeColor="text1"/>
          <w:szCs w:val="21"/>
          <w14:textFill>
            <w14:solidFill>
              <w14:schemeClr w14:val="tx1"/>
            </w14:solidFill>
          </w14:textFill>
        </w:rPr>
      </w:pPr>
      <w:r>
        <w:rPr>
          <w:rFonts w:hint="eastAsia" w:ascii="宋体" w:hAnsi="宋体" w:cs="宋体"/>
          <w:sz w:val="30"/>
          <w:szCs w:val="30"/>
        </w:rPr>
        <w:t xml:space="preserve">    </w:t>
      </w:r>
      <w:r>
        <w:rPr>
          <w:rFonts w:ascii="宋体" w:hAnsi="宋体" w:cs="宋体"/>
          <w:sz w:val="30"/>
          <w:szCs w:val="30"/>
        </w:rPr>
        <w:t xml:space="preserve">           </w:t>
      </w:r>
      <w:r>
        <w:rPr>
          <w:rFonts w:hint="eastAsia" w:ascii="宋体" w:hAnsi="宋体" w:cs="宋体"/>
          <w:sz w:val="30"/>
          <w:szCs w:val="30"/>
        </w:rPr>
        <w:t xml:space="preserve"> </w:t>
      </w:r>
      <w:r>
        <w:rPr>
          <w:rFonts w:hint="eastAsia" w:ascii="宋体" w:hAnsi="宋体" w:cs="宋体"/>
          <w:color w:val="000000" w:themeColor="text1"/>
          <w:sz w:val="28"/>
          <w:szCs w:val="28"/>
          <w14:textFill>
            <w14:solidFill>
              <w14:schemeClr w14:val="tx1"/>
            </w14:solidFill>
          </w14:textFill>
        </w:rPr>
        <w:t>承包人用于本工程主要材料表</w:t>
      </w:r>
    </w:p>
    <w:tbl>
      <w:tblPr>
        <w:tblStyle w:val="20"/>
        <w:tblpPr w:leftFromText="180" w:rightFromText="180" w:vertAnchor="text" w:horzAnchor="margin" w:tblpY="82"/>
        <w:tblW w:w="955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4"/>
        <w:gridCol w:w="1461"/>
        <w:gridCol w:w="1275"/>
        <w:gridCol w:w="1418"/>
        <w:gridCol w:w="1486"/>
        <w:gridCol w:w="1095"/>
        <w:gridCol w:w="1005"/>
        <w:gridCol w:w="1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序号</w:t>
            </w:r>
          </w:p>
        </w:tc>
        <w:tc>
          <w:tcPr>
            <w:tcW w:w="1461"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材料名称</w:t>
            </w:r>
          </w:p>
        </w:tc>
        <w:tc>
          <w:tcPr>
            <w:tcW w:w="1275"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数量</w:t>
            </w:r>
          </w:p>
        </w:tc>
        <w:tc>
          <w:tcPr>
            <w:tcW w:w="1486"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品牌</w:t>
            </w:r>
          </w:p>
        </w:tc>
        <w:tc>
          <w:tcPr>
            <w:tcW w:w="1095"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厂家</w:t>
            </w:r>
          </w:p>
        </w:tc>
        <w:tc>
          <w:tcPr>
            <w:tcW w:w="1005"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产地</w:t>
            </w:r>
          </w:p>
        </w:tc>
        <w:tc>
          <w:tcPr>
            <w:tcW w:w="1125" w:type="dxa"/>
            <w:tcBorders>
              <w:top w:val="single" w:color="auto" w:sz="4" w:space="0"/>
              <w:left w:val="single" w:color="auto" w:sz="4" w:space="0"/>
              <w:bottom w:val="single" w:color="auto" w:sz="4" w:space="0"/>
              <w:right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tcBorders>
              <w:top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Cs w:val="21"/>
              </w:rPr>
              <w:t>1</w:t>
            </w:r>
          </w:p>
        </w:tc>
        <w:tc>
          <w:tcPr>
            <w:tcW w:w="1461" w:type="dxa"/>
            <w:tcBorders>
              <w:top w:val="single" w:color="auto" w:sz="4" w:space="0"/>
            </w:tcBorders>
            <w:vAlign w:val="center"/>
          </w:tcPr>
          <w:p>
            <w:pPr>
              <w:keepNext/>
              <w:spacing w:line="0" w:lineRule="atLeast"/>
              <w:ind w:left="63" w:right="63"/>
              <w:jc w:val="center"/>
              <w:rPr>
                <w:rFonts w:ascii="宋体" w:hAnsi="宋体" w:cs="宋体"/>
                <w:szCs w:val="21"/>
              </w:rPr>
            </w:pPr>
            <w:r>
              <w:rPr>
                <w:rFonts w:hint="eastAsia" w:ascii="宋体" w:hAnsi="宋体" w:cs="宋体"/>
                <w:sz w:val="24"/>
              </w:rPr>
              <w:t>塑胶地板</w:t>
            </w:r>
          </w:p>
        </w:tc>
        <w:tc>
          <w:tcPr>
            <w:tcW w:w="1275" w:type="dxa"/>
            <w:tcBorders>
              <w:top w:val="single" w:color="auto" w:sz="4" w:space="0"/>
            </w:tcBorders>
            <w:vAlign w:val="center"/>
          </w:tcPr>
          <w:p>
            <w:pPr>
              <w:keepNext/>
              <w:spacing w:line="0" w:lineRule="atLeast"/>
              <w:ind w:left="63" w:leftChars="0" w:right="63" w:rightChars="0"/>
              <w:jc w:val="center"/>
              <w:rPr>
                <w:rFonts w:hint="eastAsia"/>
                <w:lang w:val="en-US" w:eastAsia="zh-CN"/>
              </w:rPr>
            </w:pPr>
            <w:r>
              <w:rPr>
                <w:rFonts w:hint="eastAsia"/>
                <w:lang w:val="en-US" w:eastAsia="zh-CN"/>
              </w:rPr>
              <w:t>2.0mm</w:t>
            </w:r>
          </w:p>
        </w:tc>
        <w:tc>
          <w:tcPr>
            <w:tcW w:w="1418" w:type="dxa"/>
            <w:tcBorders>
              <w:top w:val="single" w:color="auto" w:sz="4" w:space="0"/>
            </w:tcBorders>
            <w:vAlign w:val="center"/>
          </w:tcPr>
          <w:p>
            <w:pPr>
              <w:keepNext/>
              <w:spacing w:line="0" w:lineRule="atLeast"/>
              <w:ind w:left="63" w:leftChars="0" w:right="63" w:rightChars="0"/>
              <w:jc w:val="center"/>
              <w:rPr>
                <w:rFonts w:hint="eastAsia"/>
                <w:lang w:val="en-US" w:eastAsia="zh-CN"/>
              </w:rPr>
            </w:pPr>
            <w:r>
              <w:rPr>
                <w:rFonts w:hint="eastAsia"/>
                <w:lang w:val="en-US" w:eastAsia="zh-CN"/>
              </w:rPr>
              <w:t>2217.03m²</w:t>
            </w:r>
          </w:p>
        </w:tc>
        <w:tc>
          <w:tcPr>
            <w:tcW w:w="1486" w:type="dxa"/>
            <w:tcBorders>
              <w:top w:val="single" w:color="auto" w:sz="4" w:space="0"/>
            </w:tcBorders>
            <w:vAlign w:val="center"/>
          </w:tcPr>
          <w:p>
            <w:pPr>
              <w:keepNext/>
              <w:spacing w:line="0" w:lineRule="atLeast"/>
              <w:ind w:left="63" w:right="63"/>
              <w:jc w:val="center"/>
              <w:rPr>
                <w:rFonts w:ascii="宋体" w:hAnsi="宋体" w:cs="宋体"/>
                <w:szCs w:val="21"/>
              </w:rPr>
            </w:pPr>
            <w:r>
              <w:rPr>
                <w:rFonts w:hint="eastAsia" w:cs="宋体" w:asciiTheme="minorEastAsia" w:hAnsiTheme="minorEastAsia" w:eastAsiaTheme="minorEastAsia"/>
                <w:sz w:val="24"/>
              </w:rPr>
              <w:t>台宝</w:t>
            </w:r>
          </w:p>
        </w:tc>
        <w:tc>
          <w:tcPr>
            <w:tcW w:w="1095" w:type="dxa"/>
            <w:tcBorders>
              <w:top w:val="single" w:color="auto" w:sz="4" w:space="0"/>
            </w:tcBorders>
            <w:vAlign w:val="center"/>
          </w:tcPr>
          <w:p>
            <w:pPr>
              <w:keepNext/>
              <w:spacing w:line="0" w:lineRule="atLeast"/>
              <w:ind w:right="63"/>
              <w:jc w:val="left"/>
              <w:rPr>
                <w:rFonts w:hint="default" w:cs="宋体" w:asciiTheme="minorEastAsia" w:hAnsiTheme="minorEastAsia" w:eastAsiaTheme="minorEastAsia"/>
                <w:sz w:val="24"/>
                <w:lang w:val="en-US" w:eastAsia="zh-CN"/>
              </w:rPr>
            </w:pPr>
            <w:r>
              <w:rPr>
                <w:rFonts w:hint="eastAsia" w:cs="宋体" w:asciiTheme="minorEastAsia" w:hAnsiTheme="minorEastAsia" w:eastAsiaTheme="minorEastAsia"/>
                <w:sz w:val="24"/>
                <w:lang w:val="en-US" w:eastAsia="zh-CN"/>
              </w:rPr>
              <w:t>上海兆都实业有限公司</w:t>
            </w:r>
          </w:p>
        </w:tc>
        <w:tc>
          <w:tcPr>
            <w:tcW w:w="1005" w:type="dxa"/>
            <w:tcBorders>
              <w:top w:val="single" w:color="auto" w:sz="4" w:space="0"/>
            </w:tcBorders>
            <w:vAlign w:val="center"/>
          </w:tcPr>
          <w:p>
            <w:pPr>
              <w:keepNext/>
              <w:spacing w:line="0" w:lineRule="atLeast"/>
              <w:ind w:left="63" w:leftChars="30" w:right="63" w:firstLine="240" w:firstLineChars="100"/>
              <w:rPr>
                <w:rFonts w:ascii="宋体" w:hAnsi="宋体" w:cs="宋体"/>
                <w:szCs w:val="21"/>
              </w:rPr>
            </w:pPr>
            <w:r>
              <w:rPr>
                <w:rFonts w:hint="eastAsia" w:cs="宋体" w:asciiTheme="minorEastAsia" w:hAnsiTheme="minorEastAsia" w:eastAsiaTheme="minorEastAsia"/>
                <w:sz w:val="24"/>
              </w:rPr>
              <w:t>上海</w:t>
            </w:r>
          </w:p>
        </w:tc>
        <w:tc>
          <w:tcPr>
            <w:tcW w:w="1125" w:type="dxa"/>
            <w:tcBorders>
              <w:top w:val="single" w:color="auto" w:sz="4" w:space="0"/>
            </w:tcBorders>
            <w:vAlign w:val="center"/>
          </w:tcPr>
          <w:p>
            <w:pPr>
              <w:keepNext/>
              <w:spacing w:line="0" w:lineRule="atLeast"/>
              <w:ind w:left="63" w:right="63"/>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vAlign w:val="center"/>
          </w:tcPr>
          <w:p>
            <w:pPr>
              <w:keepNext/>
              <w:spacing w:line="0" w:lineRule="atLeast"/>
              <w:ind w:left="63" w:right="63"/>
              <w:jc w:val="center"/>
              <w:rPr>
                <w:rFonts w:ascii="宋体" w:hAnsi="宋体" w:cs="宋体"/>
                <w:szCs w:val="21"/>
              </w:rPr>
            </w:pPr>
            <w:r>
              <w:rPr>
                <w:rFonts w:hint="eastAsia" w:ascii="宋体" w:hAnsi="宋体" w:cs="宋体"/>
                <w:szCs w:val="21"/>
              </w:rPr>
              <w:t>2</w:t>
            </w:r>
          </w:p>
        </w:tc>
        <w:tc>
          <w:tcPr>
            <w:tcW w:w="1461" w:type="dxa"/>
            <w:vAlign w:val="center"/>
          </w:tcPr>
          <w:p>
            <w:pPr>
              <w:keepNext/>
              <w:spacing w:line="0" w:lineRule="atLeast"/>
              <w:ind w:left="63" w:leftChars="0" w:right="63" w:rightChars="0"/>
              <w:jc w:val="center"/>
              <w:rPr>
                <w:rFonts w:hint="eastAsia" w:ascii="宋体" w:hAnsi="宋体" w:eastAsia="宋体" w:cs="宋体"/>
                <w:szCs w:val="21"/>
                <w:lang w:eastAsia="zh-CN"/>
              </w:rPr>
            </w:pPr>
            <w:r>
              <w:rPr>
                <w:rFonts w:hint="eastAsia" w:ascii="宋体" w:hAnsi="宋体" w:cs="宋体"/>
                <w:szCs w:val="21"/>
              </w:rPr>
              <w:t>断桥铝窗</w:t>
            </w:r>
            <w:r>
              <w:rPr>
                <w:rFonts w:hint="eastAsia" w:ascii="宋体" w:hAnsi="宋体" w:cs="宋体"/>
                <w:szCs w:val="21"/>
                <w:lang w:eastAsia="zh-CN"/>
              </w:rPr>
              <w:t>户</w:t>
            </w:r>
          </w:p>
        </w:tc>
        <w:tc>
          <w:tcPr>
            <w:tcW w:w="1275" w:type="dxa"/>
            <w:vAlign w:val="center"/>
          </w:tcPr>
          <w:p>
            <w:pPr>
              <w:keepNext/>
              <w:spacing w:line="0" w:lineRule="atLeast"/>
              <w:ind w:left="63" w:leftChars="0" w:right="63" w:rightChars="0"/>
              <w:jc w:val="center"/>
              <w:rPr>
                <w:rFonts w:hint="eastAsia"/>
                <w:lang w:val="en-US" w:eastAsia="zh-CN"/>
              </w:rPr>
            </w:pPr>
            <w:r>
              <w:rPr>
                <w:rFonts w:hint="eastAsia"/>
                <w:lang w:val="en-US" w:eastAsia="zh-CN"/>
              </w:rPr>
              <w:t>65系列</w:t>
            </w:r>
          </w:p>
        </w:tc>
        <w:tc>
          <w:tcPr>
            <w:tcW w:w="1418" w:type="dxa"/>
            <w:vAlign w:val="center"/>
          </w:tcPr>
          <w:p>
            <w:pPr>
              <w:keepNext/>
              <w:spacing w:line="0" w:lineRule="atLeast"/>
              <w:ind w:left="63" w:leftChars="0" w:right="63" w:rightChars="0"/>
              <w:jc w:val="center"/>
              <w:rPr>
                <w:rFonts w:hint="eastAsia"/>
                <w:lang w:val="en-US" w:eastAsia="zh-CN"/>
              </w:rPr>
            </w:pPr>
            <w:r>
              <w:rPr>
                <w:rFonts w:hint="eastAsia"/>
                <w:lang w:val="en-US" w:eastAsia="zh-CN"/>
              </w:rPr>
              <w:t>501.30m²</w:t>
            </w:r>
          </w:p>
        </w:tc>
        <w:tc>
          <w:tcPr>
            <w:tcW w:w="1486" w:type="dxa"/>
            <w:vAlign w:val="center"/>
          </w:tcPr>
          <w:p>
            <w:pPr>
              <w:keepNext/>
              <w:spacing w:line="0" w:lineRule="atLeast"/>
              <w:ind w:left="63" w:leftChars="0" w:right="63" w:rightChars="0"/>
              <w:jc w:val="center"/>
              <w:rPr>
                <w:rFonts w:ascii="宋体" w:hAnsi="宋体" w:cs="宋体"/>
                <w:szCs w:val="21"/>
              </w:rPr>
            </w:pPr>
            <w:r>
              <w:rPr>
                <w:rFonts w:hint="eastAsia" w:ascii="宋体" w:hAnsi="宋体" w:cs="宋体"/>
                <w:szCs w:val="21"/>
              </w:rPr>
              <w:t>河南奥美特</w:t>
            </w:r>
          </w:p>
        </w:tc>
        <w:tc>
          <w:tcPr>
            <w:tcW w:w="1095" w:type="dxa"/>
            <w:vAlign w:val="center"/>
          </w:tcPr>
          <w:p>
            <w:pPr>
              <w:keepNext/>
              <w:spacing w:line="0" w:lineRule="atLeast"/>
              <w:ind w:left="63" w:leftChars="0" w:right="63" w:rightChars="0"/>
              <w:jc w:val="left"/>
              <w:rPr>
                <w:rFonts w:hint="eastAsia" w:ascii="宋体" w:hAnsi="宋体" w:eastAsia="宋体" w:cs="宋体"/>
                <w:szCs w:val="21"/>
                <w:lang w:eastAsia="zh-CN"/>
              </w:rPr>
            </w:pPr>
            <w:r>
              <w:rPr>
                <w:rFonts w:hint="eastAsia" w:ascii="宋体" w:hAnsi="宋体" w:cs="宋体"/>
                <w:szCs w:val="21"/>
              </w:rPr>
              <w:t>河南奥美特</w:t>
            </w:r>
            <w:r>
              <w:rPr>
                <w:rFonts w:hint="eastAsia" w:ascii="宋体" w:hAnsi="宋体" w:cs="宋体"/>
                <w:szCs w:val="21"/>
                <w:lang w:eastAsia="zh-CN"/>
              </w:rPr>
              <w:t>铝业</w:t>
            </w:r>
            <w:r>
              <w:rPr>
                <w:rFonts w:hint="eastAsia" w:cs="宋体" w:asciiTheme="minorEastAsia" w:hAnsiTheme="minorEastAsia" w:eastAsiaTheme="minorEastAsia"/>
                <w:sz w:val="24"/>
                <w:lang w:val="en-US" w:eastAsia="zh-CN"/>
              </w:rPr>
              <w:t>有限公司</w:t>
            </w:r>
          </w:p>
        </w:tc>
        <w:tc>
          <w:tcPr>
            <w:tcW w:w="1005" w:type="dxa"/>
            <w:vAlign w:val="center"/>
          </w:tcPr>
          <w:p>
            <w:pPr>
              <w:keepNext/>
              <w:spacing w:line="0" w:lineRule="atLeast"/>
              <w:ind w:left="63" w:leftChars="0" w:right="63" w:rightChars="0"/>
              <w:jc w:val="center"/>
              <w:rPr>
                <w:rFonts w:ascii="宋体" w:hAnsi="宋体" w:cs="宋体"/>
                <w:szCs w:val="21"/>
              </w:rPr>
            </w:pPr>
            <w:r>
              <w:rPr>
                <w:rFonts w:hint="eastAsia" w:ascii="宋体" w:hAnsi="宋体" w:cs="宋体"/>
                <w:szCs w:val="21"/>
              </w:rPr>
              <w:t>河南</w:t>
            </w:r>
          </w:p>
        </w:tc>
        <w:tc>
          <w:tcPr>
            <w:tcW w:w="1125" w:type="dxa"/>
            <w:vAlign w:val="center"/>
          </w:tcPr>
          <w:p>
            <w:pPr>
              <w:keepNext/>
              <w:spacing w:line="0" w:lineRule="atLeast"/>
              <w:ind w:left="63" w:right="63"/>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vAlign w:val="center"/>
          </w:tcPr>
          <w:p>
            <w:pPr>
              <w:keepNext/>
              <w:spacing w:line="0" w:lineRule="atLeast"/>
              <w:ind w:left="63" w:right="63"/>
              <w:jc w:val="center"/>
              <w:rPr>
                <w:rFonts w:ascii="宋体" w:hAnsi="宋体" w:cs="宋体"/>
                <w:szCs w:val="21"/>
              </w:rPr>
            </w:pPr>
            <w:r>
              <w:rPr>
                <w:rFonts w:hint="eastAsia" w:ascii="宋体" w:hAnsi="宋体" w:cs="宋体"/>
                <w:szCs w:val="21"/>
              </w:rPr>
              <w:t>3</w:t>
            </w:r>
          </w:p>
        </w:tc>
        <w:tc>
          <w:tcPr>
            <w:tcW w:w="1461"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实木复合门</w:t>
            </w:r>
          </w:p>
        </w:tc>
        <w:tc>
          <w:tcPr>
            <w:tcW w:w="1275" w:type="dxa"/>
            <w:vAlign w:val="center"/>
          </w:tcPr>
          <w:p>
            <w:pPr>
              <w:keepNext/>
              <w:spacing w:line="0" w:lineRule="atLeast"/>
              <w:ind w:left="63" w:leftChars="0" w:right="63" w:rightChars="0"/>
              <w:jc w:val="center"/>
              <w:rPr>
                <w:rFonts w:hint="default"/>
                <w:lang w:val="en-US" w:eastAsia="zh-CN"/>
              </w:rPr>
            </w:pPr>
            <w:r>
              <w:rPr>
                <w:rFonts w:hint="eastAsia"/>
                <w:lang w:val="en-US" w:eastAsia="zh-CN"/>
              </w:rPr>
              <w:t>900*2450</w:t>
            </w:r>
          </w:p>
        </w:tc>
        <w:tc>
          <w:tcPr>
            <w:tcW w:w="1418" w:type="dxa"/>
            <w:vAlign w:val="center"/>
          </w:tcPr>
          <w:p>
            <w:pPr>
              <w:keepNext/>
              <w:spacing w:line="0" w:lineRule="atLeast"/>
              <w:ind w:left="63" w:leftChars="0" w:right="63" w:rightChars="0"/>
              <w:jc w:val="center"/>
              <w:rPr>
                <w:rFonts w:hint="eastAsia"/>
                <w:lang w:val="en-US" w:eastAsia="zh-CN"/>
              </w:rPr>
            </w:pPr>
            <w:r>
              <w:rPr>
                <w:rFonts w:hint="eastAsia"/>
                <w:lang w:val="en-US" w:eastAsia="zh-CN"/>
              </w:rPr>
              <w:t>120樘</w:t>
            </w:r>
          </w:p>
        </w:tc>
        <w:tc>
          <w:tcPr>
            <w:tcW w:w="1486"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浙江日泰</w:t>
            </w:r>
          </w:p>
        </w:tc>
        <w:tc>
          <w:tcPr>
            <w:tcW w:w="1095" w:type="dxa"/>
            <w:vAlign w:val="center"/>
          </w:tcPr>
          <w:p>
            <w:pPr>
              <w:keepNext/>
              <w:spacing w:line="0" w:lineRule="atLeast"/>
              <w:ind w:left="63" w:right="63"/>
              <w:jc w:val="left"/>
              <w:rPr>
                <w:rFonts w:hint="eastAsia" w:ascii="宋体" w:hAnsi="宋体" w:cs="宋体"/>
                <w:szCs w:val="21"/>
              </w:rPr>
            </w:pPr>
            <w:r>
              <w:rPr>
                <w:rFonts w:hint="eastAsia" w:ascii="宋体" w:hAnsi="宋体" w:cs="宋体"/>
                <w:szCs w:val="21"/>
                <w:lang w:eastAsia="zh-CN"/>
              </w:rPr>
              <w:t>浙江日泰工贸</w:t>
            </w:r>
            <w:r>
              <w:rPr>
                <w:rFonts w:hint="eastAsia" w:cs="宋体" w:asciiTheme="minorEastAsia" w:hAnsiTheme="minorEastAsia" w:eastAsiaTheme="minorEastAsia"/>
                <w:sz w:val="24"/>
                <w:lang w:val="en-US" w:eastAsia="zh-CN"/>
              </w:rPr>
              <w:t>有限公司</w:t>
            </w:r>
          </w:p>
        </w:tc>
        <w:tc>
          <w:tcPr>
            <w:tcW w:w="1005"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浙江</w:t>
            </w:r>
          </w:p>
        </w:tc>
        <w:tc>
          <w:tcPr>
            <w:tcW w:w="1125" w:type="dxa"/>
            <w:vAlign w:val="center"/>
          </w:tcPr>
          <w:p>
            <w:pPr>
              <w:keepNext/>
              <w:spacing w:line="0" w:lineRule="atLeast"/>
              <w:ind w:left="63" w:right="63"/>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vAlign w:val="center"/>
          </w:tcPr>
          <w:p>
            <w:pPr>
              <w:keepNext/>
              <w:spacing w:line="0" w:lineRule="atLeast"/>
              <w:ind w:left="63" w:right="63"/>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1461"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通体大理石瓷砖</w:t>
            </w:r>
          </w:p>
        </w:tc>
        <w:tc>
          <w:tcPr>
            <w:tcW w:w="1275" w:type="dxa"/>
            <w:vAlign w:val="center"/>
          </w:tcPr>
          <w:p>
            <w:pPr>
              <w:keepNext/>
              <w:spacing w:line="0" w:lineRule="atLeast"/>
              <w:ind w:left="63" w:leftChars="0" w:right="63" w:rightChars="0"/>
              <w:jc w:val="center"/>
              <w:rPr>
                <w:rFonts w:hint="eastAsia"/>
                <w:lang w:val="en-US" w:eastAsia="zh-CN"/>
              </w:rPr>
            </w:pPr>
            <w:r>
              <w:rPr>
                <w:rFonts w:hint="eastAsia"/>
                <w:lang w:val="en-US" w:eastAsia="zh-CN"/>
              </w:rPr>
              <w:t>300*600mm</w:t>
            </w:r>
          </w:p>
          <w:p>
            <w:pPr>
              <w:keepNext/>
              <w:spacing w:line="0" w:lineRule="atLeast"/>
              <w:ind w:left="63" w:leftChars="0" w:right="63" w:rightChars="0"/>
              <w:jc w:val="center"/>
              <w:rPr>
                <w:rFonts w:hint="default"/>
                <w:lang w:val="en-US" w:eastAsia="zh-CN"/>
              </w:rPr>
            </w:pPr>
            <w:r>
              <w:rPr>
                <w:rFonts w:hint="eastAsia"/>
                <w:lang w:val="en-US" w:eastAsia="zh-CN"/>
              </w:rPr>
              <w:t>600*600mm</w:t>
            </w:r>
          </w:p>
        </w:tc>
        <w:tc>
          <w:tcPr>
            <w:tcW w:w="1418" w:type="dxa"/>
            <w:vAlign w:val="center"/>
          </w:tcPr>
          <w:p>
            <w:pPr>
              <w:keepNext/>
              <w:spacing w:line="0" w:lineRule="atLeast"/>
              <w:ind w:left="63" w:leftChars="0" w:right="63" w:rightChars="0"/>
              <w:jc w:val="center"/>
              <w:rPr>
                <w:rFonts w:hint="eastAsia"/>
                <w:lang w:val="en-US" w:eastAsia="zh-CN"/>
              </w:rPr>
            </w:pPr>
            <w:r>
              <w:rPr>
                <w:rFonts w:hint="eastAsia"/>
                <w:lang w:val="en-US" w:eastAsia="zh-CN"/>
              </w:rPr>
              <w:t>801.69m²</w:t>
            </w:r>
          </w:p>
          <w:p>
            <w:pPr>
              <w:keepNext/>
              <w:spacing w:line="0" w:lineRule="atLeast"/>
              <w:ind w:left="63" w:leftChars="0" w:right="63" w:rightChars="0"/>
              <w:jc w:val="center"/>
              <w:rPr>
                <w:rFonts w:hint="default"/>
                <w:lang w:val="en-US" w:eastAsia="zh-CN"/>
              </w:rPr>
            </w:pPr>
            <w:r>
              <w:rPr>
                <w:rFonts w:hint="eastAsia"/>
                <w:lang w:val="en-US" w:eastAsia="zh-CN"/>
              </w:rPr>
              <w:t>338.13m²</w:t>
            </w:r>
          </w:p>
        </w:tc>
        <w:tc>
          <w:tcPr>
            <w:tcW w:w="1486" w:type="dxa"/>
            <w:vAlign w:val="center"/>
          </w:tcPr>
          <w:p>
            <w:pPr>
              <w:keepNext/>
              <w:spacing w:line="0" w:lineRule="atLeast"/>
              <w:ind w:left="63" w:leftChars="0" w:right="63" w:rightChars="0"/>
              <w:jc w:val="center"/>
              <w:rPr>
                <w:rFonts w:hint="eastAsia" w:ascii="宋体" w:hAnsi="宋体" w:eastAsia="宋体" w:cs="宋体"/>
                <w:szCs w:val="21"/>
                <w:lang w:eastAsia="zh-CN"/>
              </w:rPr>
            </w:pPr>
            <w:r>
              <w:rPr>
                <w:rFonts w:hint="eastAsia" w:ascii="宋体" w:hAnsi="宋体" w:cs="宋体"/>
                <w:szCs w:val="21"/>
                <w:lang w:eastAsia="zh-CN"/>
              </w:rPr>
              <w:t>广东简一陶瓷</w:t>
            </w:r>
          </w:p>
        </w:tc>
        <w:tc>
          <w:tcPr>
            <w:tcW w:w="1095" w:type="dxa"/>
            <w:vAlign w:val="center"/>
          </w:tcPr>
          <w:p>
            <w:pPr>
              <w:keepNext/>
              <w:spacing w:line="0" w:lineRule="atLeast"/>
              <w:ind w:left="63" w:leftChars="30" w:right="63" w:rightChars="0"/>
              <w:jc w:val="left"/>
              <w:rPr>
                <w:rFonts w:hint="eastAsia" w:ascii="宋体" w:hAnsi="宋体" w:cs="宋体"/>
                <w:szCs w:val="21"/>
              </w:rPr>
            </w:pPr>
            <w:r>
              <w:rPr>
                <w:rFonts w:hint="eastAsia" w:ascii="宋体" w:hAnsi="宋体" w:cs="宋体"/>
                <w:szCs w:val="21"/>
                <w:lang w:eastAsia="zh-CN"/>
              </w:rPr>
              <w:t>广东简一（集团）陶瓷</w:t>
            </w:r>
            <w:r>
              <w:rPr>
                <w:rFonts w:hint="eastAsia" w:cs="宋体" w:asciiTheme="minorEastAsia" w:hAnsiTheme="minorEastAsia" w:eastAsiaTheme="minorEastAsia"/>
                <w:sz w:val="24"/>
                <w:lang w:val="en-US" w:eastAsia="zh-CN"/>
              </w:rPr>
              <w:t>有限公司</w:t>
            </w:r>
          </w:p>
        </w:tc>
        <w:tc>
          <w:tcPr>
            <w:tcW w:w="1005" w:type="dxa"/>
            <w:vAlign w:val="center"/>
          </w:tcPr>
          <w:p>
            <w:pPr>
              <w:keepNext/>
              <w:spacing w:line="0" w:lineRule="atLeast"/>
              <w:ind w:left="63" w:leftChars="30" w:right="63" w:rightChars="0"/>
              <w:jc w:val="center"/>
              <w:rPr>
                <w:rFonts w:hint="eastAsia" w:ascii="宋体" w:hAnsi="宋体" w:eastAsia="宋体" w:cs="宋体"/>
                <w:szCs w:val="21"/>
                <w:lang w:eastAsia="zh-CN"/>
              </w:rPr>
            </w:pPr>
            <w:r>
              <w:rPr>
                <w:rFonts w:hint="eastAsia" w:ascii="宋体" w:hAnsi="宋体" w:cs="宋体"/>
                <w:szCs w:val="21"/>
                <w:lang w:eastAsia="zh-CN"/>
              </w:rPr>
              <w:t>广东</w:t>
            </w:r>
          </w:p>
        </w:tc>
        <w:tc>
          <w:tcPr>
            <w:tcW w:w="1125" w:type="dxa"/>
            <w:vAlign w:val="center"/>
          </w:tcPr>
          <w:p>
            <w:pPr>
              <w:keepNext/>
              <w:spacing w:line="0" w:lineRule="atLeast"/>
              <w:ind w:left="63" w:right="63"/>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vAlign w:val="center"/>
          </w:tcPr>
          <w:p>
            <w:pPr>
              <w:keepNext/>
              <w:spacing w:line="0" w:lineRule="atLeast"/>
              <w:ind w:left="63" w:right="63"/>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461"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乳胶漆</w:t>
            </w:r>
          </w:p>
        </w:tc>
        <w:tc>
          <w:tcPr>
            <w:tcW w:w="1275"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室内环保型</w:t>
            </w:r>
          </w:p>
        </w:tc>
        <w:tc>
          <w:tcPr>
            <w:tcW w:w="1418" w:type="dxa"/>
            <w:vAlign w:val="center"/>
          </w:tcPr>
          <w:p>
            <w:pPr>
              <w:keepNext/>
              <w:spacing w:line="0" w:lineRule="atLeast"/>
              <w:ind w:left="63" w:right="63"/>
              <w:jc w:val="center"/>
              <w:rPr>
                <w:rFonts w:hint="default" w:ascii="宋体" w:hAnsi="宋体" w:eastAsia="宋体" w:cs="宋体"/>
                <w:szCs w:val="21"/>
                <w:lang w:val="en-US" w:eastAsia="zh-CN"/>
              </w:rPr>
            </w:pPr>
            <w:r>
              <w:rPr>
                <w:rFonts w:hint="eastAsia" w:ascii="宋体" w:hAnsi="宋体" w:cs="宋体"/>
                <w:szCs w:val="21"/>
                <w:lang w:val="en-US" w:eastAsia="zh-CN"/>
              </w:rPr>
              <w:t>2860.0kg</w:t>
            </w:r>
          </w:p>
        </w:tc>
        <w:tc>
          <w:tcPr>
            <w:tcW w:w="1486"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多乐士</w:t>
            </w:r>
          </w:p>
        </w:tc>
        <w:tc>
          <w:tcPr>
            <w:tcW w:w="1095"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阿克苏诺贝尔公司</w:t>
            </w:r>
          </w:p>
        </w:tc>
        <w:tc>
          <w:tcPr>
            <w:tcW w:w="1005"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上海</w:t>
            </w:r>
          </w:p>
        </w:tc>
        <w:tc>
          <w:tcPr>
            <w:tcW w:w="1125" w:type="dxa"/>
            <w:vAlign w:val="center"/>
          </w:tcPr>
          <w:p>
            <w:pPr>
              <w:keepNext/>
              <w:spacing w:line="0" w:lineRule="atLeast"/>
              <w:ind w:left="63" w:right="63"/>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vAlign w:val="center"/>
          </w:tcPr>
          <w:p>
            <w:pPr>
              <w:keepNext/>
              <w:spacing w:line="0" w:lineRule="atLeast"/>
              <w:ind w:left="63" w:right="63"/>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1461"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窗帘</w:t>
            </w:r>
          </w:p>
        </w:tc>
        <w:tc>
          <w:tcPr>
            <w:tcW w:w="1275" w:type="dxa"/>
            <w:vAlign w:val="center"/>
          </w:tcPr>
          <w:p>
            <w:pPr>
              <w:keepNext/>
              <w:spacing w:line="0" w:lineRule="atLeast"/>
              <w:ind w:left="63" w:right="63"/>
              <w:jc w:val="center"/>
              <w:rPr>
                <w:rFonts w:hint="default" w:ascii="宋体" w:hAnsi="宋体" w:eastAsia="宋体" w:cs="宋体"/>
                <w:szCs w:val="21"/>
                <w:lang w:val="en-US" w:eastAsia="zh-CN"/>
              </w:rPr>
            </w:pPr>
            <w:r>
              <w:rPr>
                <w:rFonts w:hint="eastAsia" w:ascii="宋体" w:hAnsi="宋体" w:cs="宋体"/>
                <w:szCs w:val="21"/>
                <w:lang w:val="en-US" w:eastAsia="zh-CN"/>
              </w:rPr>
              <w:t>/</w:t>
            </w:r>
          </w:p>
        </w:tc>
        <w:tc>
          <w:tcPr>
            <w:tcW w:w="1418" w:type="dxa"/>
            <w:vAlign w:val="center"/>
          </w:tcPr>
          <w:p>
            <w:pPr>
              <w:keepNext/>
              <w:spacing w:line="0" w:lineRule="atLeast"/>
              <w:ind w:left="63" w:right="63"/>
              <w:jc w:val="center"/>
              <w:rPr>
                <w:rFonts w:hint="default" w:ascii="宋体" w:hAnsi="宋体" w:eastAsia="宋体" w:cs="宋体"/>
                <w:szCs w:val="21"/>
                <w:lang w:val="en-US" w:eastAsia="zh-CN"/>
              </w:rPr>
            </w:pPr>
            <w:r>
              <w:rPr>
                <w:rFonts w:hint="eastAsia" w:ascii="宋体" w:hAnsi="宋体" w:cs="宋体"/>
                <w:szCs w:val="21"/>
                <w:lang w:val="en-US" w:eastAsia="zh-CN"/>
              </w:rPr>
              <w:t>257</w:t>
            </w:r>
            <w:r>
              <w:rPr>
                <w:rFonts w:hint="eastAsia"/>
                <w:lang w:val="en-US" w:eastAsia="zh-CN"/>
              </w:rPr>
              <w:t>m²</w:t>
            </w:r>
          </w:p>
        </w:tc>
        <w:tc>
          <w:tcPr>
            <w:tcW w:w="1486"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上海煜丽</w:t>
            </w:r>
          </w:p>
        </w:tc>
        <w:tc>
          <w:tcPr>
            <w:tcW w:w="1095" w:type="dxa"/>
            <w:vAlign w:val="center"/>
          </w:tcPr>
          <w:p>
            <w:pPr>
              <w:keepNext/>
              <w:spacing w:line="0" w:lineRule="atLeast"/>
              <w:ind w:left="63" w:right="63"/>
              <w:jc w:val="center"/>
              <w:rPr>
                <w:rFonts w:hint="eastAsia" w:ascii="宋体" w:hAnsi="宋体" w:cs="宋体"/>
                <w:szCs w:val="21"/>
              </w:rPr>
            </w:pPr>
            <w:r>
              <w:rPr>
                <w:rFonts w:hint="eastAsia" w:ascii="宋体" w:hAnsi="宋体" w:cs="宋体"/>
                <w:szCs w:val="21"/>
                <w:lang w:eastAsia="zh-CN"/>
              </w:rPr>
              <w:t>上海煜丽纺织有限公司</w:t>
            </w:r>
          </w:p>
        </w:tc>
        <w:tc>
          <w:tcPr>
            <w:tcW w:w="1005" w:type="dxa"/>
            <w:vAlign w:val="center"/>
          </w:tcPr>
          <w:p>
            <w:pPr>
              <w:keepNext/>
              <w:spacing w:line="0" w:lineRule="atLeast"/>
              <w:ind w:left="63" w:right="63"/>
              <w:jc w:val="center"/>
              <w:rPr>
                <w:rFonts w:hint="eastAsia" w:ascii="宋体" w:hAnsi="宋体" w:eastAsia="宋体" w:cs="宋体"/>
                <w:szCs w:val="21"/>
                <w:lang w:eastAsia="zh-CN"/>
              </w:rPr>
            </w:pPr>
            <w:r>
              <w:rPr>
                <w:rFonts w:hint="eastAsia" w:ascii="宋体" w:hAnsi="宋体" w:cs="宋体"/>
                <w:szCs w:val="21"/>
                <w:lang w:eastAsia="zh-CN"/>
              </w:rPr>
              <w:t>上海</w:t>
            </w:r>
          </w:p>
        </w:tc>
        <w:tc>
          <w:tcPr>
            <w:tcW w:w="1125" w:type="dxa"/>
            <w:vAlign w:val="center"/>
          </w:tcPr>
          <w:p>
            <w:pPr>
              <w:keepNext/>
              <w:spacing w:line="0" w:lineRule="atLeast"/>
              <w:ind w:left="63" w:right="63"/>
              <w:jc w:val="center"/>
              <w:rPr>
                <w:rFonts w:ascii="宋体" w:hAnsi="宋体" w:cs="宋体"/>
                <w:szCs w:val="21"/>
              </w:rPr>
            </w:pPr>
          </w:p>
        </w:tc>
      </w:tr>
    </w:tbl>
    <w:p>
      <w:pPr>
        <w:rPr>
          <w:rFonts w:ascii="宋体" w:hAnsi="宋体" w:cs="宋体"/>
          <w:color w:val="000000"/>
          <w:sz w:val="28"/>
          <w:szCs w:val="28"/>
        </w:rPr>
      </w:pPr>
      <w:r>
        <w:rPr>
          <w:rFonts w:hint="eastAsia" w:ascii="宋体" w:hAnsi="宋体" w:cs="宋体"/>
          <w:color w:val="000000"/>
          <w:sz w:val="28"/>
          <w:szCs w:val="28"/>
        </w:rPr>
        <w:t>备注：1、材料选用应为国产或合资中高档及以上。</w:t>
      </w:r>
    </w:p>
    <w:p>
      <w:pPr>
        <w:spacing w:line="440" w:lineRule="exact"/>
        <w:rPr>
          <w:rFonts w:ascii="宋体" w:hAnsi="宋体" w:cs="宋体"/>
          <w:sz w:val="28"/>
          <w:szCs w:val="28"/>
        </w:rPr>
      </w:pPr>
      <w:r>
        <w:rPr>
          <w:rFonts w:hint="eastAsia" w:ascii="宋体" w:hAnsi="宋体" w:cs="宋体"/>
          <w:color w:val="000000"/>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ascii="宋体" w:hAnsi="宋体" w:cs="宋体"/>
          <w:szCs w:val="21"/>
        </w:rPr>
      </w:pPr>
    </w:p>
    <w:p>
      <w:pPr>
        <w:rPr>
          <w:rFonts w:ascii="宋体" w:hAnsi="宋体" w:cs="宋体"/>
          <w:szCs w:val="21"/>
        </w:rPr>
      </w:pPr>
      <w:r>
        <w:rPr>
          <w:rFonts w:hint="eastAsia"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p>
    <w:p>
      <w:pPr>
        <w:spacing w:line="440" w:lineRule="exact"/>
        <w:jc w:val="center"/>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t>承包人主要施工管理人员表</w:t>
      </w:r>
    </w:p>
    <w:p/>
    <w:p>
      <w:pPr>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72405" cy="4565015"/>
            <wp:effectExtent l="0" t="0" r="4445" b="6985"/>
            <wp:docPr id="3" name="图片 3" descr="1640755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0755547(1)"/>
                    <pic:cNvPicPr>
                      <a:picLocks noChangeAspect="1"/>
                    </pic:cNvPicPr>
                  </pic:nvPicPr>
                  <pic:blipFill>
                    <a:blip r:embed="rId10"/>
                    <a:stretch>
                      <a:fillRect/>
                    </a:stretch>
                  </pic:blipFill>
                  <pic:spPr>
                    <a:xfrm>
                      <a:off x="0" y="0"/>
                      <a:ext cx="5272405" cy="4565015"/>
                    </a:xfrm>
                    <a:prstGeom prst="rect">
                      <a:avLst/>
                    </a:prstGeom>
                  </pic:spPr>
                </pic:pic>
              </a:graphicData>
            </a:graphic>
          </wp:inline>
        </w:drawing>
      </w:r>
    </w:p>
    <w:p>
      <w:pPr>
        <w:rPr>
          <w:rFonts w:hint="eastAsia" w:ascii="宋体" w:hAnsi="宋体" w:eastAsia="宋体" w:cs="宋体"/>
          <w:szCs w:val="21"/>
          <w:lang w:eastAsia="zh-CN"/>
        </w:rPr>
      </w:pPr>
      <w:r>
        <w:rPr>
          <w:rFonts w:hint="eastAsia" w:ascii="宋体" w:hAnsi="宋体" w:eastAsia="宋体" w:cs="宋体"/>
          <w:szCs w:val="21"/>
          <w:lang w:eastAsia="zh-CN"/>
        </w:rPr>
        <w:br w:type="page"/>
      </w:r>
    </w:p>
    <w:p>
      <w:pPr>
        <w:pStyle w:val="23"/>
      </w:pP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20"/>
        <w:tblW w:w="8789" w:type="dxa"/>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double" w:color="auto" w:sz="6" w:space="0"/>
              <w:bottom w:val="single" w:color="auto" w:sz="6" w:space="0"/>
            </w:tcBorders>
            <w:vAlign w:val="center"/>
          </w:tcPr>
          <w:p>
            <w:pPr>
              <w:keepNext/>
              <w:spacing w:line="0" w:lineRule="atLeast"/>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1984"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水龙头（DN40）</w:t>
            </w:r>
          </w:p>
        </w:tc>
        <w:tc>
          <w:tcPr>
            <w:tcW w:w="851" w:type="dxa"/>
            <w:tcBorders>
              <w:top w:val="double" w:color="auto" w:sz="6" w:space="0"/>
              <w:bottom w:val="single" w:color="auto" w:sz="6" w:space="0"/>
            </w:tcBorders>
            <w:vAlign w:val="center"/>
          </w:tcPr>
          <w:p>
            <w:pPr>
              <w:keepNext/>
              <w:spacing w:line="0" w:lineRule="atLeast"/>
              <w:jc w:val="center"/>
              <w:rPr>
                <w:rFonts w:hint="eastAsia" w:ascii="宋体" w:hAnsi="宋体" w:cs="宋体" w:eastAsiaTheme="minorEastAsia"/>
                <w:kern w:val="0"/>
                <w:szCs w:val="21"/>
                <w:lang w:eastAsia="zh-CN"/>
              </w:rPr>
            </w:pPr>
            <w:r>
              <w:rPr>
                <w:rFonts w:hint="eastAsia" w:ascii="宋体" w:hAnsi="宋体" w:cs="宋体" w:eastAsiaTheme="minorEastAsia"/>
                <w:kern w:val="0"/>
                <w:szCs w:val="21"/>
                <w:lang w:eastAsia="zh-CN"/>
              </w:rPr>
              <w:t>个</w:t>
            </w:r>
          </w:p>
        </w:tc>
        <w:tc>
          <w:tcPr>
            <w:tcW w:w="774" w:type="dxa"/>
            <w:tcBorders>
              <w:top w:val="double" w:color="auto" w:sz="6" w:space="0"/>
              <w:bottom w:val="single" w:color="auto" w:sz="6" w:space="0"/>
            </w:tcBorders>
            <w:vAlign w:val="center"/>
          </w:tcPr>
          <w:p>
            <w:pPr>
              <w:keepNext/>
              <w:spacing w:line="0" w:lineRule="atLeast"/>
              <w:jc w:val="center"/>
              <w:rPr>
                <w:rFonts w:hint="default" w:ascii="宋体" w:hAnsi="宋体" w:cs="宋体" w:eastAsiaTheme="minorEastAsia"/>
                <w:kern w:val="0"/>
                <w:szCs w:val="21"/>
                <w:lang w:val="en-US" w:eastAsia="zh-CN"/>
              </w:rPr>
            </w:pPr>
            <w:r>
              <w:rPr>
                <w:rFonts w:hint="eastAsia" w:ascii="宋体" w:hAnsi="宋体" w:cs="宋体" w:eastAsiaTheme="minorEastAsia"/>
                <w:kern w:val="0"/>
                <w:szCs w:val="21"/>
                <w:lang w:val="en-US" w:eastAsia="zh-CN"/>
              </w:rPr>
              <w:t>131.3</w:t>
            </w:r>
          </w:p>
        </w:tc>
        <w:tc>
          <w:tcPr>
            <w:tcW w:w="1352" w:type="dxa"/>
            <w:tcBorders>
              <w:top w:val="double" w:color="auto" w:sz="6" w:space="0"/>
              <w:bottom w:val="single" w:color="auto" w:sz="6" w:space="0"/>
            </w:tcBorders>
            <w:vAlign w:val="center"/>
          </w:tcPr>
          <w:p>
            <w:pPr>
              <w:keepNext/>
              <w:spacing w:line="0" w:lineRule="atLeast"/>
              <w:jc w:val="center"/>
              <w:rPr>
                <w:rFonts w:hint="default" w:ascii="宋体" w:hAnsi="宋体" w:cs="宋体" w:eastAsiaTheme="minorEastAsia"/>
                <w:kern w:val="0"/>
                <w:szCs w:val="21"/>
                <w:lang w:val="en-US" w:eastAsia="zh-CN"/>
              </w:rPr>
            </w:pPr>
            <w:r>
              <w:rPr>
                <w:rFonts w:hint="eastAsia" w:ascii="宋体" w:hAnsi="宋体" w:cs="宋体" w:eastAsiaTheme="minorEastAsia"/>
                <w:kern w:val="0"/>
                <w:szCs w:val="21"/>
                <w:lang w:val="en-US" w:eastAsia="zh-CN"/>
              </w:rPr>
              <w:t>120</w:t>
            </w:r>
          </w:p>
        </w:tc>
        <w:tc>
          <w:tcPr>
            <w:tcW w:w="1418" w:type="dxa"/>
            <w:tcBorders>
              <w:top w:val="double" w:color="auto" w:sz="6" w:space="0"/>
              <w:bottom w:val="single" w:color="auto" w:sz="6" w:space="0"/>
            </w:tcBorders>
            <w:vAlign w:val="center"/>
          </w:tcPr>
          <w:p>
            <w:pPr>
              <w:keepNext/>
              <w:spacing w:line="0" w:lineRule="atLeast"/>
              <w:jc w:val="center"/>
              <w:rPr>
                <w:rFonts w:hint="default" w:ascii="宋体" w:hAnsi="宋体" w:cs="宋体" w:eastAsiaTheme="minorEastAsia"/>
                <w:kern w:val="0"/>
                <w:szCs w:val="21"/>
                <w:lang w:val="en-US" w:eastAsia="zh-CN"/>
              </w:rPr>
            </w:pPr>
            <w:r>
              <w:rPr>
                <w:rFonts w:hint="eastAsia" w:ascii="宋体" w:hAnsi="宋体" w:cs="宋体" w:eastAsiaTheme="minorEastAsia"/>
                <w:kern w:val="0"/>
                <w:szCs w:val="21"/>
                <w:lang w:val="en-US" w:eastAsia="zh-CN"/>
              </w:rPr>
              <w:t>15756</w:t>
            </w:r>
          </w:p>
        </w:tc>
        <w:tc>
          <w:tcPr>
            <w:tcW w:w="1701" w:type="dxa"/>
            <w:tcBorders>
              <w:top w:val="double" w:color="auto" w:sz="6" w:space="0"/>
              <w:bottom w:val="single" w:color="auto" w:sz="6" w:space="0"/>
            </w:tcBorders>
            <w:vAlign w:val="center"/>
          </w:tcPr>
          <w:p>
            <w:pPr>
              <w:keepNext/>
              <w:spacing w:line="0" w:lineRule="atLeast"/>
              <w:jc w:val="center"/>
              <w:rPr>
                <w:rFonts w:hint="eastAsia" w:ascii="宋体" w:hAnsi="宋体" w:cs="宋体" w:eastAsiaTheme="minorEastAsia"/>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1984" w:type="dxa"/>
            <w:vAlign w:val="center"/>
          </w:tcPr>
          <w:p>
            <w:pPr>
              <w:keepNext/>
              <w:spacing w:line="0" w:lineRule="atLeast"/>
              <w:jc w:val="center"/>
              <w:rPr>
                <w:rFonts w:ascii="宋体" w:hAnsi="宋体" w:eastAsia="Times New Roman" w:cs="宋体"/>
                <w:kern w:val="0"/>
                <w:szCs w:val="21"/>
              </w:rPr>
            </w:pPr>
            <w:r>
              <w:rPr>
                <w:rFonts w:hint="eastAsia" w:ascii="宋体" w:hAnsi="宋体" w:cs="宋体" w:eastAsiaTheme="minorEastAsia"/>
                <w:kern w:val="0"/>
                <w:szCs w:val="21"/>
                <w:lang w:eastAsia="zh-CN"/>
              </w:rPr>
              <w:t>蹲式</w:t>
            </w:r>
            <w:r>
              <w:rPr>
                <w:rFonts w:hint="eastAsia" w:ascii="宋体" w:hAnsi="宋体" w:cs="宋体" w:eastAsiaTheme="minorEastAsia"/>
                <w:kern w:val="0"/>
                <w:szCs w:val="21"/>
              </w:rPr>
              <w:t>大便器</w:t>
            </w:r>
          </w:p>
        </w:tc>
        <w:tc>
          <w:tcPr>
            <w:tcW w:w="851" w:type="dxa"/>
            <w:vAlign w:val="center"/>
          </w:tcPr>
          <w:p>
            <w:pPr>
              <w:keepNext/>
              <w:spacing w:line="0" w:lineRule="atLeast"/>
              <w:jc w:val="center"/>
              <w:rPr>
                <w:rFonts w:ascii="宋体" w:hAnsi="宋体" w:eastAsia="Times New Roman" w:cs="宋体"/>
                <w:kern w:val="0"/>
                <w:szCs w:val="21"/>
              </w:rPr>
            </w:pPr>
            <w:r>
              <w:rPr>
                <w:rFonts w:hint="eastAsia" w:ascii="宋体" w:hAnsi="宋体" w:cs="宋体" w:eastAsiaTheme="minorEastAsia"/>
                <w:kern w:val="0"/>
                <w:szCs w:val="21"/>
                <w:lang w:eastAsia="zh-CN"/>
              </w:rPr>
              <w:t>个</w:t>
            </w:r>
          </w:p>
        </w:tc>
        <w:tc>
          <w:tcPr>
            <w:tcW w:w="774" w:type="dxa"/>
            <w:vAlign w:val="center"/>
          </w:tcPr>
          <w:p>
            <w:pPr>
              <w:keepNext/>
              <w:spacing w:line="0" w:lineRule="atLeast"/>
              <w:jc w:val="center"/>
              <w:rPr>
                <w:rFonts w:hint="default" w:ascii="宋体" w:hAnsi="宋体" w:cs="宋体" w:eastAsiaTheme="minorEastAsia"/>
                <w:kern w:val="0"/>
                <w:szCs w:val="21"/>
                <w:lang w:val="en-US" w:eastAsia="zh-CN"/>
              </w:rPr>
            </w:pPr>
            <w:r>
              <w:rPr>
                <w:rFonts w:hint="eastAsia" w:ascii="宋体" w:hAnsi="宋体" w:cs="宋体" w:eastAsiaTheme="minorEastAsia"/>
                <w:kern w:val="0"/>
                <w:szCs w:val="21"/>
              </w:rPr>
              <w:t>40</w:t>
            </w:r>
            <w:r>
              <w:rPr>
                <w:rFonts w:hint="eastAsia" w:ascii="宋体" w:hAnsi="宋体" w:cs="宋体" w:eastAsiaTheme="minorEastAsia"/>
                <w:kern w:val="0"/>
                <w:szCs w:val="21"/>
                <w:lang w:val="en-US" w:eastAsia="zh-CN"/>
              </w:rPr>
              <w:t>.4</w:t>
            </w:r>
          </w:p>
        </w:tc>
        <w:tc>
          <w:tcPr>
            <w:tcW w:w="1352" w:type="dxa"/>
            <w:vAlign w:val="center"/>
          </w:tcPr>
          <w:p>
            <w:pPr>
              <w:keepNext/>
              <w:spacing w:line="0" w:lineRule="atLeas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700</w:t>
            </w:r>
          </w:p>
        </w:tc>
        <w:tc>
          <w:tcPr>
            <w:tcW w:w="1418" w:type="dxa"/>
            <w:vAlign w:val="center"/>
          </w:tcPr>
          <w:p>
            <w:pPr>
              <w:keepNext/>
              <w:spacing w:line="0" w:lineRule="atLeast"/>
              <w:jc w:val="center"/>
              <w:rPr>
                <w:rFonts w:hint="eastAsia" w:ascii="宋体" w:hAnsi="宋体" w:cs="宋体" w:eastAsiaTheme="minorEastAsia"/>
                <w:kern w:val="0"/>
                <w:szCs w:val="21"/>
              </w:rPr>
            </w:pPr>
            <w:r>
              <w:rPr>
                <w:rFonts w:hint="eastAsia" w:ascii="宋体" w:hAnsi="宋体" w:cs="宋体" w:eastAsiaTheme="minorEastAsia"/>
                <w:kern w:val="0"/>
                <w:szCs w:val="21"/>
              </w:rPr>
              <w:t>28280</w:t>
            </w: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vAlign w:val="center"/>
          </w:tcPr>
          <w:p>
            <w:pPr>
              <w:keepNext/>
              <w:spacing w:line="0" w:lineRule="atLeast"/>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1984" w:type="dxa"/>
            <w:vAlign w:val="center"/>
          </w:tcPr>
          <w:p>
            <w:pPr>
              <w:keepNext/>
              <w:spacing w:line="0" w:lineRule="atLeast"/>
              <w:jc w:val="center"/>
              <w:rPr>
                <w:rFonts w:hint="eastAsia" w:ascii="宋体" w:hAnsi="宋体" w:cs="宋体" w:eastAsiaTheme="minorEastAsia"/>
                <w:kern w:val="0"/>
                <w:szCs w:val="21"/>
              </w:rPr>
            </w:pPr>
            <w:r>
              <w:rPr>
                <w:rFonts w:hint="eastAsia" w:ascii="宋体" w:hAnsi="宋体" w:cs="宋体" w:eastAsiaTheme="minorEastAsia"/>
                <w:kern w:val="0"/>
                <w:szCs w:val="21"/>
              </w:rPr>
              <w:t>小便器</w:t>
            </w:r>
          </w:p>
        </w:tc>
        <w:tc>
          <w:tcPr>
            <w:tcW w:w="851" w:type="dxa"/>
            <w:vAlign w:val="center"/>
          </w:tcPr>
          <w:p>
            <w:pPr>
              <w:keepNext/>
              <w:spacing w:line="0" w:lineRule="atLeast"/>
              <w:jc w:val="center"/>
              <w:rPr>
                <w:rFonts w:ascii="宋体" w:hAnsi="宋体" w:eastAsia="Times New Roman" w:cs="宋体"/>
                <w:kern w:val="0"/>
                <w:szCs w:val="21"/>
              </w:rPr>
            </w:pPr>
            <w:r>
              <w:rPr>
                <w:rFonts w:hint="eastAsia" w:ascii="宋体" w:hAnsi="宋体" w:cs="宋体" w:eastAsiaTheme="minorEastAsia"/>
                <w:kern w:val="0"/>
                <w:szCs w:val="21"/>
                <w:lang w:eastAsia="zh-CN"/>
              </w:rPr>
              <w:t>个</w:t>
            </w:r>
          </w:p>
        </w:tc>
        <w:tc>
          <w:tcPr>
            <w:tcW w:w="774" w:type="dxa"/>
            <w:vAlign w:val="center"/>
          </w:tcPr>
          <w:p>
            <w:pPr>
              <w:keepNext/>
              <w:spacing w:line="0" w:lineRule="atLeast"/>
              <w:jc w:val="center"/>
              <w:rPr>
                <w:rFonts w:hint="default" w:ascii="宋体" w:hAnsi="宋体" w:cs="宋体" w:eastAsiaTheme="minorEastAsia"/>
                <w:kern w:val="0"/>
                <w:szCs w:val="21"/>
                <w:lang w:val="en-US" w:eastAsia="zh-CN"/>
              </w:rPr>
            </w:pPr>
            <w:r>
              <w:rPr>
                <w:rFonts w:hint="eastAsia" w:ascii="宋体" w:hAnsi="宋体" w:cs="宋体" w:eastAsiaTheme="minorEastAsia"/>
                <w:kern w:val="0"/>
                <w:szCs w:val="21"/>
              </w:rPr>
              <w:t>20</w:t>
            </w:r>
            <w:r>
              <w:rPr>
                <w:rFonts w:hint="eastAsia" w:ascii="宋体" w:hAnsi="宋体" w:cs="宋体" w:eastAsiaTheme="minorEastAsia"/>
                <w:kern w:val="0"/>
                <w:szCs w:val="21"/>
                <w:lang w:val="en-US" w:eastAsia="zh-CN"/>
              </w:rPr>
              <w:t>.2</w:t>
            </w:r>
          </w:p>
        </w:tc>
        <w:tc>
          <w:tcPr>
            <w:tcW w:w="1352" w:type="dxa"/>
            <w:vAlign w:val="center"/>
          </w:tcPr>
          <w:p>
            <w:pPr>
              <w:keepNext/>
              <w:spacing w:line="0" w:lineRule="atLeas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1800</w:t>
            </w:r>
          </w:p>
        </w:tc>
        <w:tc>
          <w:tcPr>
            <w:tcW w:w="1418" w:type="dxa"/>
            <w:vAlign w:val="center"/>
          </w:tcPr>
          <w:p>
            <w:pPr>
              <w:keepNext/>
              <w:spacing w:line="0" w:lineRule="atLeast"/>
              <w:jc w:val="center"/>
              <w:rPr>
                <w:rFonts w:hint="eastAsia" w:ascii="宋体" w:hAnsi="宋体" w:cs="宋体" w:eastAsiaTheme="minorEastAsia"/>
                <w:kern w:val="0"/>
                <w:szCs w:val="21"/>
              </w:rPr>
            </w:pPr>
            <w:r>
              <w:rPr>
                <w:rFonts w:hint="eastAsia" w:ascii="宋体" w:hAnsi="宋体" w:cs="宋体" w:eastAsiaTheme="minorEastAsia"/>
                <w:kern w:val="0"/>
                <w:szCs w:val="21"/>
              </w:rPr>
              <w:t>36360</w:t>
            </w: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hint="eastAsia" w:ascii="宋体" w:hAnsi="宋体" w:cs="宋体" w:eastAsiaTheme="minorEastAsia"/>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hint="eastAsia" w:ascii="宋体" w:hAnsi="宋体" w:cs="宋体" w:eastAsiaTheme="minorEastAsia"/>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hint="eastAsia" w:ascii="宋体" w:hAnsi="宋体" w:cs="宋体" w:eastAsiaTheme="minorEastAsia"/>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vAlign w:val="center"/>
          </w:tcPr>
          <w:p>
            <w:pPr>
              <w:keepNext/>
              <w:spacing w:line="0" w:lineRule="atLeast"/>
              <w:jc w:val="center"/>
              <w:rPr>
                <w:rFonts w:ascii="宋体" w:hAnsi="宋体" w:eastAsia="Times New Roman" w:cs="宋体"/>
                <w:kern w:val="0"/>
                <w:szCs w:val="21"/>
              </w:rPr>
            </w:pPr>
          </w:p>
        </w:tc>
        <w:tc>
          <w:tcPr>
            <w:tcW w:w="1984" w:type="dxa"/>
            <w:vAlign w:val="center"/>
          </w:tcPr>
          <w:p>
            <w:pPr>
              <w:keepNext/>
              <w:spacing w:line="0" w:lineRule="atLeast"/>
              <w:jc w:val="center"/>
              <w:rPr>
                <w:rFonts w:ascii="宋体" w:hAnsi="宋体" w:eastAsia="Times New Roman" w:cs="宋体"/>
                <w:kern w:val="0"/>
                <w:szCs w:val="21"/>
              </w:rPr>
            </w:pPr>
          </w:p>
        </w:tc>
        <w:tc>
          <w:tcPr>
            <w:tcW w:w="851" w:type="dxa"/>
            <w:vAlign w:val="center"/>
          </w:tcPr>
          <w:p>
            <w:pPr>
              <w:keepNext/>
              <w:spacing w:line="0" w:lineRule="atLeast"/>
              <w:jc w:val="center"/>
              <w:rPr>
                <w:rFonts w:ascii="宋体" w:hAnsi="宋体" w:eastAsia="Times New Roman" w:cs="宋体"/>
                <w:kern w:val="0"/>
                <w:szCs w:val="21"/>
              </w:rPr>
            </w:pPr>
          </w:p>
        </w:tc>
        <w:tc>
          <w:tcPr>
            <w:tcW w:w="774" w:type="dxa"/>
            <w:vAlign w:val="center"/>
          </w:tcPr>
          <w:p>
            <w:pPr>
              <w:keepNext/>
              <w:spacing w:line="0" w:lineRule="atLeast"/>
              <w:jc w:val="center"/>
              <w:rPr>
                <w:rFonts w:ascii="宋体" w:hAnsi="宋体" w:eastAsia="Times New Roman" w:cs="宋体"/>
                <w:kern w:val="0"/>
                <w:szCs w:val="21"/>
              </w:rPr>
            </w:pPr>
          </w:p>
        </w:tc>
        <w:tc>
          <w:tcPr>
            <w:tcW w:w="1352" w:type="dxa"/>
            <w:vAlign w:val="center"/>
          </w:tcPr>
          <w:p>
            <w:pPr>
              <w:keepNext/>
              <w:spacing w:line="0" w:lineRule="atLeast"/>
              <w:jc w:val="center"/>
              <w:rPr>
                <w:rFonts w:ascii="宋体" w:hAnsi="宋体" w:eastAsia="Times New Roman" w:cs="宋体"/>
                <w:kern w:val="0"/>
                <w:szCs w:val="21"/>
              </w:rPr>
            </w:pPr>
          </w:p>
        </w:tc>
        <w:tc>
          <w:tcPr>
            <w:tcW w:w="1418" w:type="dxa"/>
            <w:vAlign w:val="center"/>
          </w:tcPr>
          <w:p>
            <w:pPr>
              <w:keepNext/>
              <w:spacing w:line="0" w:lineRule="atLeast"/>
              <w:jc w:val="center"/>
              <w:rPr>
                <w:rFonts w:ascii="宋体" w:hAnsi="宋体" w:eastAsia="Times New Roman" w:cs="宋体"/>
                <w:kern w:val="0"/>
                <w:szCs w:val="21"/>
              </w:rPr>
            </w:pPr>
          </w:p>
        </w:tc>
        <w:tc>
          <w:tcPr>
            <w:tcW w:w="1701"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20"/>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19"/>
      </w:pPr>
    </w:p>
    <w:p>
      <w:pPr>
        <w:pStyle w:val="19"/>
      </w:pPr>
    </w:p>
    <w:p>
      <w:pPr>
        <w:pStyle w:val="19"/>
      </w:pPr>
    </w:p>
    <w:p>
      <w:pPr>
        <w:pStyle w:val="3"/>
        <w:keepNext/>
        <w:keepLines/>
        <w:pageBreakBefore w:val="0"/>
        <w:widowControl w:val="0"/>
        <w:numPr>
          <w:ilvl w:val="0"/>
          <w:numId w:val="0"/>
        </w:numPr>
        <w:kinsoku/>
        <w:wordWrap/>
        <w:overflowPunct/>
        <w:topLinePunct w:val="0"/>
        <w:autoSpaceDE/>
        <w:autoSpaceDN/>
        <w:bidi w:val="0"/>
        <w:adjustRightInd/>
        <w:snapToGrid/>
        <w:spacing w:before="220" w:after="0" w:line="360" w:lineRule="auto"/>
        <w:jc w:val="center"/>
        <w:textAlignment w:val="auto"/>
        <w:rPr>
          <w:rFonts w:hint="eastAsia" w:ascii="仿宋" w:hAnsi="仿宋" w:eastAsia="仿宋" w:cs="仿宋"/>
          <w:b/>
          <w:bCs/>
          <w:kern w:val="44"/>
          <w:sz w:val="32"/>
          <w:szCs w:val="32"/>
          <w:lang w:val="en-US" w:eastAsia="zh-CN" w:bidi="ar-SA"/>
        </w:rPr>
      </w:pPr>
      <w:r>
        <w:rPr>
          <w:rFonts w:hint="eastAsia" w:ascii="仿宋" w:hAnsi="仿宋" w:eastAsia="仿宋" w:cs="仿宋"/>
          <w:b/>
          <w:bCs/>
          <w:kern w:val="44"/>
          <w:sz w:val="32"/>
          <w:szCs w:val="32"/>
          <w:highlight w:val="none"/>
          <w:lang w:val="en-US" w:eastAsia="zh-CN" w:bidi="ar-SA"/>
        </w:rPr>
        <w:t>技术标准和要求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依据设计文件和招标人的要求，本招标工程项目的材料、设备、施工须达到下列现行中华人民共和国以及省、自治区、直辖市或行业的工程建设标准、规范的要求</w:t>
      </w:r>
      <w:r>
        <w:rPr>
          <w:rFonts w:hint="eastAsia" w:ascii="仿宋" w:hAnsi="仿宋" w:eastAsia="仿宋" w:cs="仿宋"/>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GB50352-20</w:t>
      </w:r>
      <w:r>
        <w:rPr>
          <w:rFonts w:hint="eastAsia" w:ascii="仿宋" w:hAnsi="仿宋" w:eastAsia="仿宋" w:cs="仿宋"/>
          <w:kern w:val="0"/>
          <w:sz w:val="24"/>
          <w:szCs w:val="24"/>
          <w:lang w:val="en-US" w:eastAsia="zh-CN"/>
        </w:rPr>
        <w:t>19</w:t>
      </w:r>
      <w:r>
        <w:rPr>
          <w:rFonts w:hint="eastAsia" w:ascii="仿宋" w:hAnsi="仿宋" w:eastAsia="仿宋" w:cs="仿宋"/>
          <w:kern w:val="0"/>
          <w:sz w:val="24"/>
          <w:szCs w:val="24"/>
        </w:rPr>
        <w:t xml:space="preserve"> 民用建筑设计</w:t>
      </w:r>
      <w:r>
        <w:rPr>
          <w:rFonts w:hint="eastAsia" w:ascii="仿宋" w:hAnsi="仿宋" w:eastAsia="仿宋" w:cs="仿宋"/>
          <w:kern w:val="0"/>
          <w:sz w:val="24"/>
          <w:szCs w:val="24"/>
          <w:lang w:eastAsia="zh-CN"/>
        </w:rPr>
        <w:t>标准</w:t>
      </w:r>
      <w:r>
        <w:rPr>
          <w:rFonts w:hint="eastAsia" w:ascii="仿宋" w:hAnsi="仿宋" w:eastAsia="仿宋" w:cs="仿宋"/>
          <w:kern w:val="0"/>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GB50</w:t>
      </w:r>
      <w:r>
        <w:rPr>
          <w:rFonts w:hint="eastAsia" w:ascii="仿宋" w:hAnsi="仿宋" w:eastAsia="仿宋" w:cs="仿宋"/>
          <w:kern w:val="0"/>
          <w:sz w:val="24"/>
          <w:szCs w:val="24"/>
          <w:lang w:val="en-US" w:eastAsia="zh-CN"/>
        </w:rPr>
        <w:t>222</w:t>
      </w:r>
      <w:r>
        <w:rPr>
          <w:rFonts w:hint="eastAsia" w:ascii="仿宋" w:hAnsi="仿宋" w:eastAsia="仿宋" w:cs="仿宋"/>
          <w:kern w:val="0"/>
          <w:sz w:val="24"/>
          <w:szCs w:val="24"/>
        </w:rPr>
        <w:t>-20</w:t>
      </w:r>
      <w:r>
        <w:rPr>
          <w:rFonts w:hint="eastAsia" w:ascii="仿宋" w:hAnsi="仿宋" w:eastAsia="仿宋" w:cs="仿宋"/>
          <w:kern w:val="0"/>
          <w:sz w:val="24"/>
          <w:szCs w:val="24"/>
          <w:lang w:val="en-US" w:eastAsia="zh-CN"/>
        </w:rPr>
        <w:t>17</w:t>
      </w:r>
      <w:r>
        <w:rPr>
          <w:rFonts w:hint="eastAsia" w:ascii="仿宋" w:hAnsi="仿宋" w:eastAsia="仿宋" w:cs="仿宋"/>
          <w:kern w:val="0"/>
          <w:sz w:val="24"/>
          <w:szCs w:val="24"/>
        </w:rPr>
        <w:t xml:space="preserve"> 建筑</w:t>
      </w:r>
      <w:r>
        <w:rPr>
          <w:rFonts w:hint="eastAsia" w:ascii="仿宋" w:hAnsi="仿宋" w:eastAsia="仿宋" w:cs="仿宋"/>
          <w:kern w:val="0"/>
          <w:sz w:val="24"/>
          <w:szCs w:val="24"/>
          <w:lang w:eastAsia="zh-CN"/>
        </w:rPr>
        <w:t>内部装修</w:t>
      </w:r>
      <w:r>
        <w:rPr>
          <w:rFonts w:hint="eastAsia" w:ascii="仿宋" w:hAnsi="仿宋" w:eastAsia="仿宋" w:cs="仿宋"/>
          <w:kern w:val="0"/>
          <w:sz w:val="24"/>
          <w:szCs w:val="24"/>
        </w:rPr>
        <w:t>设计</w:t>
      </w:r>
      <w:r>
        <w:rPr>
          <w:rFonts w:hint="eastAsia" w:ascii="仿宋" w:hAnsi="仿宋" w:eastAsia="仿宋" w:cs="仿宋"/>
          <w:kern w:val="0"/>
          <w:sz w:val="24"/>
          <w:szCs w:val="24"/>
          <w:lang w:eastAsia="zh-CN"/>
        </w:rPr>
        <w:t>防火规范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GB50</w:t>
      </w:r>
      <w:r>
        <w:rPr>
          <w:rFonts w:hint="eastAsia" w:ascii="仿宋" w:hAnsi="仿宋" w:eastAsia="仿宋" w:cs="仿宋"/>
          <w:kern w:val="0"/>
          <w:sz w:val="24"/>
          <w:szCs w:val="24"/>
          <w:lang w:val="en-US" w:eastAsia="zh-CN"/>
        </w:rPr>
        <w:t>016</w:t>
      </w:r>
      <w:r>
        <w:rPr>
          <w:rFonts w:hint="eastAsia" w:ascii="仿宋" w:hAnsi="仿宋" w:eastAsia="仿宋" w:cs="仿宋"/>
          <w:kern w:val="0"/>
          <w:sz w:val="24"/>
          <w:szCs w:val="24"/>
        </w:rPr>
        <w:t>-20</w:t>
      </w:r>
      <w:r>
        <w:rPr>
          <w:rFonts w:hint="eastAsia" w:ascii="仿宋" w:hAnsi="仿宋" w:eastAsia="仿宋" w:cs="仿宋"/>
          <w:kern w:val="0"/>
          <w:sz w:val="24"/>
          <w:szCs w:val="24"/>
          <w:lang w:val="en-US" w:eastAsia="zh-CN"/>
        </w:rPr>
        <w:t xml:space="preserve">18 </w:t>
      </w:r>
      <w:r>
        <w:rPr>
          <w:rFonts w:hint="eastAsia" w:ascii="仿宋" w:hAnsi="仿宋" w:eastAsia="仿宋" w:cs="仿宋"/>
          <w:kern w:val="0"/>
          <w:sz w:val="24"/>
          <w:szCs w:val="24"/>
        </w:rPr>
        <w:t>建筑设计</w:t>
      </w:r>
      <w:r>
        <w:rPr>
          <w:rFonts w:hint="eastAsia" w:ascii="仿宋" w:hAnsi="仿宋" w:eastAsia="仿宋" w:cs="仿宋"/>
          <w:kern w:val="0"/>
          <w:sz w:val="24"/>
          <w:szCs w:val="24"/>
          <w:lang w:eastAsia="zh-CN"/>
        </w:rPr>
        <w:t>防火规范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"https://www.baidu.com/s?wd=GB%2FT&amp;tn=SE_PcZhidaonwhc_ngpagmjz&amp;rsv_dl=gh_pc_zhidao" \t "_blank" </w:instrText>
      </w:r>
      <w:r>
        <w:rPr>
          <w:rFonts w:hint="eastAsia" w:ascii="仿宋" w:hAnsi="仿宋" w:eastAsia="仿宋" w:cs="仿宋"/>
          <w:sz w:val="24"/>
          <w:szCs w:val="24"/>
        </w:rPr>
        <w:fldChar w:fldCharType="separate"/>
      </w:r>
      <w:r>
        <w:rPr>
          <w:rFonts w:hint="eastAsia" w:ascii="仿宋" w:hAnsi="仿宋" w:eastAsia="仿宋" w:cs="仿宋"/>
          <w:kern w:val="0"/>
          <w:sz w:val="24"/>
          <w:szCs w:val="24"/>
        </w:rPr>
        <w:t>GB/T</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 xml:space="preserve"> 50107-2010 混凝土强度检验评定标准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50204-2015 砼结构工程施工质量验收规范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GB  50206-2012 木结构工程施工质量验收规范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GB  50209-2010 建筑地面工程施工质量验收规范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GB  50210-2018 建筑装饰装修工程质量验收规范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GB／T8478－2008铝合金门／窗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10、</w:t>
      </w:r>
      <w:r>
        <w:rPr>
          <w:rFonts w:hint="eastAsia" w:ascii="仿宋" w:hAnsi="仿宋" w:eastAsia="仿宋" w:cs="仿宋"/>
          <w:kern w:val="0"/>
          <w:sz w:val="24"/>
          <w:szCs w:val="24"/>
        </w:rPr>
        <w:t>GB/T5823-2008 建筑门窗</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11、</w:t>
      </w:r>
      <w:r>
        <w:rPr>
          <w:rFonts w:hint="eastAsia" w:ascii="仿宋" w:hAnsi="仿宋" w:eastAsia="仿宋" w:cs="仿宋"/>
          <w:kern w:val="0"/>
          <w:sz w:val="24"/>
          <w:szCs w:val="24"/>
        </w:rPr>
        <w:t>GB15763.2-2005建筑用安全玻璃 第2部分：钢化玻璃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12、</w:t>
      </w:r>
      <w:r>
        <w:rPr>
          <w:rFonts w:hint="eastAsia" w:ascii="仿宋" w:hAnsi="仿宋" w:eastAsia="仿宋" w:cs="仿宋"/>
          <w:kern w:val="0"/>
          <w:sz w:val="24"/>
          <w:szCs w:val="24"/>
        </w:rPr>
        <w:t>JGT212－2007 建筑门窗五金件通用要求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13、</w:t>
      </w:r>
      <w:r>
        <w:rPr>
          <w:rFonts w:hint="eastAsia" w:ascii="仿宋" w:hAnsi="仿宋" w:eastAsia="仿宋" w:cs="仿宋"/>
          <w:kern w:val="0"/>
          <w:sz w:val="24"/>
          <w:szCs w:val="24"/>
        </w:rPr>
        <w:t>JGT124／125／130建筑门窗五金传动机构执手、合页、锁闭器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14、</w:t>
      </w:r>
      <w:r>
        <w:rPr>
          <w:rFonts w:hint="eastAsia" w:ascii="仿宋" w:hAnsi="仿宋" w:eastAsia="仿宋" w:cs="仿宋"/>
          <w:kern w:val="0"/>
          <w:sz w:val="24"/>
          <w:szCs w:val="24"/>
        </w:rPr>
        <w:t>GB／T10712建筑门窗三元乙丙密封胶条</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15、</w:t>
      </w:r>
      <w:r>
        <w:rPr>
          <w:rFonts w:hint="eastAsia" w:ascii="仿宋" w:hAnsi="仿宋" w:eastAsia="仿宋" w:cs="仿宋"/>
          <w:kern w:val="0"/>
          <w:sz w:val="24"/>
          <w:szCs w:val="24"/>
        </w:rPr>
        <w:t>GB/T 11982.2-2015聚氯乙烯卷材地板 第2部分 同质聚氯乙烯卷材地板</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16、</w:t>
      </w:r>
      <w:r>
        <w:rPr>
          <w:rFonts w:hint="eastAsia" w:ascii="仿宋" w:hAnsi="仿宋" w:eastAsia="仿宋" w:cs="仿宋"/>
          <w:kern w:val="0"/>
          <w:sz w:val="24"/>
          <w:szCs w:val="24"/>
        </w:rPr>
        <w:t>GB/T4100-2015陶瓷砖</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17、</w:t>
      </w:r>
      <w:r>
        <w:rPr>
          <w:rFonts w:hint="eastAsia" w:ascii="仿宋" w:hAnsi="仿宋" w:eastAsia="仿宋" w:cs="仿宋"/>
          <w:kern w:val="0"/>
          <w:sz w:val="24"/>
          <w:szCs w:val="24"/>
        </w:rPr>
        <w:t>GB/T3810-2016陶瓷砖试验方法</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18、</w:t>
      </w:r>
      <w:r>
        <w:rPr>
          <w:rFonts w:hint="eastAsia" w:ascii="仿宋" w:hAnsi="仿宋" w:eastAsia="仿宋" w:cs="仿宋"/>
          <w:kern w:val="0"/>
          <w:sz w:val="24"/>
          <w:szCs w:val="24"/>
        </w:rPr>
        <w:t>GB／6952—2015卫生陶瓷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19、</w:t>
      </w:r>
      <w:r>
        <w:rPr>
          <w:rFonts w:hint="eastAsia" w:ascii="仿宋" w:hAnsi="仿宋" w:eastAsia="仿宋" w:cs="仿宋"/>
          <w:kern w:val="0"/>
          <w:sz w:val="24"/>
          <w:szCs w:val="24"/>
        </w:rPr>
        <w:t xml:space="preserve">GB/T18601-2009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"https://baike.baidu.com/item/%E5%A4%A9%E7%84%B6%E8%8A%B1%E5%B2%97%E7%9F%B3/10345995" \t "_blank" </w:instrText>
      </w:r>
      <w:r>
        <w:rPr>
          <w:rFonts w:hint="eastAsia" w:ascii="仿宋" w:hAnsi="仿宋" w:eastAsia="仿宋" w:cs="仿宋"/>
          <w:sz w:val="24"/>
          <w:szCs w:val="24"/>
        </w:rPr>
        <w:fldChar w:fldCharType="separate"/>
      </w:r>
      <w:r>
        <w:rPr>
          <w:rFonts w:hint="eastAsia" w:ascii="仿宋" w:hAnsi="仿宋" w:eastAsia="仿宋" w:cs="仿宋"/>
          <w:kern w:val="0"/>
          <w:sz w:val="24"/>
          <w:szCs w:val="24"/>
        </w:rPr>
        <w:t>天然花岗石</w: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建筑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"https://baike.baidu.com/item/%E6%9D%BF%E6%9D%90/3727123" \t "_blank" </w:instrText>
      </w:r>
      <w:r>
        <w:rPr>
          <w:rFonts w:hint="eastAsia" w:ascii="仿宋" w:hAnsi="仿宋" w:eastAsia="仿宋" w:cs="仿宋"/>
          <w:sz w:val="24"/>
          <w:szCs w:val="24"/>
        </w:rPr>
        <w:fldChar w:fldCharType="separate"/>
      </w:r>
      <w:r>
        <w:rPr>
          <w:rFonts w:hint="eastAsia" w:ascii="仿宋" w:hAnsi="仿宋" w:eastAsia="仿宋" w:cs="仿宋"/>
          <w:kern w:val="0"/>
          <w:sz w:val="24"/>
          <w:szCs w:val="24"/>
        </w:rPr>
        <w:t>板材</w:t>
      </w:r>
      <w:r>
        <w:rPr>
          <w:rFonts w:hint="eastAsia" w:ascii="仿宋" w:hAnsi="仿宋" w:eastAsia="仿宋" w:cs="仿宋"/>
          <w:kern w:val="0"/>
          <w:sz w:val="24"/>
          <w:szCs w:val="24"/>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20</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GB503</w:t>
      </w:r>
      <w:r>
        <w:rPr>
          <w:rFonts w:hint="eastAsia" w:ascii="仿宋" w:hAnsi="仿宋" w:eastAsia="仿宋" w:cs="仿宋"/>
          <w:kern w:val="0"/>
          <w:sz w:val="24"/>
          <w:szCs w:val="24"/>
          <w:highlight w:val="none"/>
          <w:lang w:val="en-US" w:eastAsia="zh-CN"/>
        </w:rPr>
        <w:t>25</w:t>
      </w:r>
      <w:r>
        <w:rPr>
          <w:rFonts w:hint="eastAsia" w:ascii="仿宋" w:hAnsi="仿宋" w:eastAsia="仿宋" w:cs="仿宋"/>
          <w:kern w:val="0"/>
          <w:sz w:val="24"/>
          <w:szCs w:val="24"/>
          <w:highlight w:val="none"/>
        </w:rPr>
        <w:t>-20</w:t>
      </w:r>
      <w:r>
        <w:rPr>
          <w:rFonts w:hint="eastAsia" w:ascii="仿宋" w:hAnsi="仿宋" w:eastAsia="仿宋" w:cs="仿宋"/>
          <w:kern w:val="0"/>
          <w:sz w:val="24"/>
          <w:szCs w:val="24"/>
          <w:highlight w:val="none"/>
          <w:lang w:val="en-US" w:eastAsia="zh-CN"/>
        </w:rPr>
        <w:t>20</w:t>
      </w:r>
      <w:r>
        <w:rPr>
          <w:rFonts w:hint="eastAsia" w:ascii="仿宋" w:hAnsi="仿宋" w:eastAsia="仿宋" w:cs="仿宋"/>
          <w:kern w:val="0"/>
          <w:sz w:val="24"/>
          <w:szCs w:val="24"/>
          <w:highlight w:val="none"/>
        </w:rPr>
        <w:t xml:space="preserve"> 民</w:t>
      </w:r>
      <w:r>
        <w:rPr>
          <w:rFonts w:hint="eastAsia" w:ascii="仿宋" w:hAnsi="仿宋" w:eastAsia="仿宋" w:cs="仿宋"/>
          <w:kern w:val="0"/>
          <w:sz w:val="24"/>
          <w:szCs w:val="24"/>
        </w:rPr>
        <w:t>用建筑工程室内环境污染控制</w:t>
      </w:r>
      <w:r>
        <w:rPr>
          <w:rFonts w:hint="eastAsia" w:ascii="仿宋" w:hAnsi="仿宋" w:eastAsia="仿宋" w:cs="仿宋"/>
          <w:kern w:val="0"/>
          <w:sz w:val="24"/>
          <w:szCs w:val="24"/>
          <w:lang w:eastAsia="zh-CN"/>
        </w:rPr>
        <w:t>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21、</w:t>
      </w:r>
      <w:r>
        <w:rPr>
          <w:rFonts w:hint="eastAsia" w:ascii="仿宋" w:hAnsi="仿宋" w:eastAsia="仿宋" w:cs="仿宋"/>
          <w:kern w:val="0"/>
          <w:sz w:val="24"/>
          <w:szCs w:val="24"/>
        </w:rPr>
        <w:t>GB50354-2005 建筑内部装修防火施工及验收规范</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22、</w:t>
      </w:r>
      <w:r>
        <w:rPr>
          <w:rFonts w:hint="eastAsia" w:ascii="仿宋" w:hAnsi="仿宋" w:eastAsia="仿宋" w:cs="仿宋"/>
          <w:kern w:val="0"/>
          <w:sz w:val="24"/>
          <w:szCs w:val="24"/>
        </w:rPr>
        <w:t xml:space="preserve">GB18580-2017室内装饰装修材料人造板及其制品中甲醛释放限量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23、</w:t>
      </w:r>
      <w:r>
        <w:rPr>
          <w:rFonts w:hint="eastAsia" w:ascii="仿宋" w:hAnsi="仿宋" w:eastAsia="仿宋" w:cs="仿宋"/>
          <w:kern w:val="0"/>
          <w:sz w:val="24"/>
          <w:szCs w:val="24"/>
        </w:rPr>
        <w:t>GB18581-2009室内装饰装修材料溶剂型木器涂料中有害物质限量</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24、</w:t>
      </w:r>
      <w:r>
        <w:rPr>
          <w:rFonts w:hint="eastAsia" w:ascii="仿宋" w:hAnsi="仿宋" w:eastAsia="仿宋" w:cs="仿宋"/>
          <w:kern w:val="0"/>
          <w:sz w:val="24"/>
          <w:szCs w:val="24"/>
        </w:rPr>
        <w:t xml:space="preserve">GB18582-2016室内装饰装修材料内墙涂料中有害物质限量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25、</w:t>
      </w:r>
      <w:r>
        <w:rPr>
          <w:rFonts w:hint="eastAsia" w:ascii="仿宋" w:hAnsi="仿宋" w:eastAsia="仿宋" w:cs="仿宋"/>
          <w:kern w:val="0"/>
          <w:sz w:val="24"/>
          <w:szCs w:val="24"/>
        </w:rPr>
        <w:t xml:space="preserve">GB18583-2008室内装饰装修材料胶粘剂中有害物质限量 </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26、</w:t>
      </w:r>
      <w:r>
        <w:rPr>
          <w:rFonts w:hint="eastAsia" w:ascii="仿宋" w:hAnsi="仿宋" w:eastAsia="仿宋" w:cs="仿宋"/>
          <w:kern w:val="0"/>
          <w:sz w:val="24"/>
          <w:szCs w:val="24"/>
        </w:rPr>
        <w:t>GB6566-2010建筑材料放射性核素限量</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注：以上技术规范要求提出的是最低限度的技术要求，本技术要求所使用的标准如与投标人所执行的标准水平不一致时，按较高标准执行。未尽事宜应按照现行国家相关的技术规范执行。</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eastAsia="zh-CN"/>
        </w:rPr>
        <w:t>一、</w:t>
      </w:r>
      <w:r>
        <w:rPr>
          <w:rFonts w:hint="eastAsia" w:ascii="仿宋" w:hAnsi="仿宋" w:eastAsia="仿宋" w:cs="仿宋"/>
          <w:b/>
          <w:bCs/>
          <w:sz w:val="24"/>
          <w:szCs w:val="24"/>
        </w:rPr>
        <w:t>PVC塑胶地板技术要求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（一）塑胶地板要求：</w:t>
      </w:r>
    </w:p>
    <w:p>
      <w:pPr>
        <w:keepNext w:val="0"/>
        <w:keepLines w:val="0"/>
        <w:pageBreakBefore w:val="0"/>
        <w:widowControl w:val="0"/>
        <w:kinsoku/>
        <w:wordWrap/>
        <w:overflowPunct/>
        <w:topLinePunct w:val="0"/>
        <w:autoSpaceDE/>
        <w:autoSpaceDN/>
        <w:bidi w:val="0"/>
        <w:adjustRightInd/>
        <w:snapToGrid/>
        <w:spacing w:line="440" w:lineRule="exact"/>
        <w:ind w:firstLine="426"/>
        <w:textAlignment w:val="auto"/>
        <w:rPr>
          <w:rFonts w:hint="eastAsia" w:ascii="仿宋" w:hAnsi="仿宋" w:eastAsia="仿宋" w:cs="仿宋"/>
          <w:kern w:val="0"/>
          <w:sz w:val="24"/>
          <w:szCs w:val="24"/>
        </w:rPr>
      </w:pPr>
      <w:r>
        <w:rPr>
          <w:rFonts w:hint="eastAsia" w:ascii="仿宋" w:hAnsi="仿宋" w:eastAsia="仿宋" w:cs="仿宋"/>
          <w:kern w:val="0"/>
          <w:sz w:val="24"/>
          <w:szCs w:val="24"/>
        </w:rPr>
        <w:t>1.材质：PVC同质透芯地板；</w:t>
      </w:r>
    </w:p>
    <w:p>
      <w:pPr>
        <w:keepNext w:val="0"/>
        <w:keepLines w:val="0"/>
        <w:pageBreakBefore w:val="0"/>
        <w:widowControl w:val="0"/>
        <w:kinsoku/>
        <w:wordWrap/>
        <w:overflowPunct/>
        <w:topLinePunct w:val="0"/>
        <w:autoSpaceDE/>
        <w:autoSpaceDN/>
        <w:bidi w:val="0"/>
        <w:adjustRightInd/>
        <w:snapToGrid/>
        <w:spacing w:line="440" w:lineRule="exact"/>
        <w:ind w:firstLine="426"/>
        <w:textAlignment w:val="auto"/>
        <w:rPr>
          <w:rFonts w:hint="eastAsia" w:ascii="仿宋" w:hAnsi="仿宋" w:eastAsia="仿宋" w:cs="仿宋"/>
          <w:kern w:val="0"/>
          <w:sz w:val="24"/>
          <w:szCs w:val="24"/>
        </w:rPr>
      </w:pPr>
      <w:r>
        <w:rPr>
          <w:rFonts w:hint="eastAsia" w:ascii="仿宋" w:hAnsi="仿宋" w:eastAsia="仿宋" w:cs="仿宋"/>
          <w:kern w:val="0"/>
          <w:sz w:val="24"/>
          <w:szCs w:val="24"/>
        </w:rPr>
        <w:t>2.厚度：2.0mm；</w:t>
      </w:r>
    </w:p>
    <w:p>
      <w:pPr>
        <w:keepNext w:val="0"/>
        <w:keepLines w:val="0"/>
        <w:pageBreakBefore w:val="0"/>
        <w:widowControl w:val="0"/>
        <w:kinsoku/>
        <w:wordWrap/>
        <w:overflowPunct/>
        <w:topLinePunct w:val="0"/>
        <w:autoSpaceDE/>
        <w:autoSpaceDN/>
        <w:bidi w:val="0"/>
        <w:adjustRightInd/>
        <w:snapToGrid/>
        <w:spacing w:line="440" w:lineRule="exact"/>
        <w:ind w:firstLine="426"/>
        <w:textAlignment w:val="auto"/>
        <w:rPr>
          <w:rFonts w:hint="eastAsia" w:ascii="仿宋" w:hAnsi="仿宋" w:eastAsia="仿宋" w:cs="仿宋"/>
          <w:kern w:val="0"/>
          <w:sz w:val="24"/>
          <w:szCs w:val="24"/>
        </w:rPr>
      </w:pPr>
      <w:r>
        <w:rPr>
          <w:rFonts w:hint="eastAsia" w:ascii="仿宋" w:hAnsi="仿宋" w:eastAsia="仿宋" w:cs="仿宋"/>
          <w:kern w:val="0"/>
          <w:sz w:val="24"/>
          <w:szCs w:val="24"/>
        </w:rPr>
        <w:t>3.颜色：甲方根据投标人样品册确定；</w:t>
      </w:r>
    </w:p>
    <w:p>
      <w:pPr>
        <w:keepNext w:val="0"/>
        <w:keepLines w:val="0"/>
        <w:pageBreakBefore w:val="0"/>
        <w:widowControl w:val="0"/>
        <w:kinsoku/>
        <w:wordWrap/>
        <w:overflowPunct/>
        <w:topLinePunct w:val="0"/>
        <w:autoSpaceDE/>
        <w:autoSpaceDN/>
        <w:bidi w:val="0"/>
        <w:adjustRightInd/>
        <w:snapToGrid/>
        <w:spacing w:line="440" w:lineRule="exact"/>
        <w:ind w:firstLine="426"/>
        <w:textAlignment w:val="auto"/>
        <w:rPr>
          <w:rFonts w:hint="eastAsia" w:ascii="仿宋" w:hAnsi="仿宋" w:eastAsia="仿宋" w:cs="仿宋"/>
          <w:kern w:val="0"/>
          <w:sz w:val="24"/>
          <w:szCs w:val="24"/>
        </w:rPr>
      </w:pPr>
      <w:r>
        <w:rPr>
          <w:rFonts w:hint="eastAsia" w:ascii="仿宋" w:hAnsi="仿宋" w:eastAsia="仿宋" w:cs="仿宋"/>
          <w:kern w:val="0"/>
          <w:sz w:val="24"/>
          <w:szCs w:val="24"/>
        </w:rPr>
        <w:t>4.地板表面加强处理：塑胶地板完工后，在所有地板表面加涂两遍</w:t>
      </w:r>
      <w:r>
        <w:rPr>
          <w:rFonts w:hint="eastAsia" w:ascii="仿宋" w:hAnsi="仿宋" w:eastAsia="仿宋" w:cs="仿宋"/>
          <w:kern w:val="0"/>
          <w:sz w:val="24"/>
          <w:szCs w:val="24"/>
          <w:lang w:eastAsia="zh-CN"/>
        </w:rPr>
        <w:t>高强面蜡</w:t>
      </w:r>
      <w:r>
        <w:rPr>
          <w:rFonts w:hint="eastAsia" w:ascii="仿宋" w:hAnsi="仿宋" w:eastAsia="仿宋" w:cs="仿宋"/>
          <w:kern w:val="0"/>
          <w:sz w:val="24"/>
          <w:szCs w:val="24"/>
        </w:rPr>
        <w:t>，建议选用知名品牌。公共走廊四周应做套色波打线，报价时综合考虑。</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textAlignment w:val="auto"/>
        <w:rPr>
          <w:rFonts w:hint="eastAsia" w:ascii="仿宋" w:hAnsi="仿宋" w:eastAsia="仿宋" w:cs="仿宋"/>
          <w:kern w:val="0"/>
          <w:sz w:val="24"/>
          <w:szCs w:val="24"/>
        </w:rPr>
      </w:pPr>
      <w:r>
        <w:rPr>
          <w:rFonts w:hint="eastAsia" w:ascii="仿宋" w:hAnsi="仿宋" w:eastAsia="仿宋" w:cs="仿宋"/>
          <w:kern w:val="0"/>
          <w:sz w:val="24"/>
          <w:szCs w:val="24"/>
        </w:rPr>
        <w:t>（二）自流平水泥基础处理要求：</w:t>
      </w:r>
    </w:p>
    <w:p>
      <w:pPr>
        <w:pStyle w:val="45"/>
        <w:keepNext w:val="0"/>
        <w:keepLines w:val="0"/>
        <w:pageBreakBefore w:val="0"/>
        <w:widowControl w:val="0"/>
        <w:kinsoku/>
        <w:wordWrap/>
        <w:overflowPunct/>
        <w:topLinePunct w:val="0"/>
        <w:autoSpaceDE/>
        <w:autoSpaceDN/>
        <w:bidi w:val="0"/>
        <w:adjustRightInd/>
        <w:snapToGrid/>
        <w:spacing w:line="440" w:lineRule="exact"/>
        <w:ind w:firstLineChars="150"/>
        <w:textAlignment w:val="auto"/>
        <w:rPr>
          <w:rFonts w:hint="eastAsia" w:ascii="仿宋" w:hAnsi="仿宋" w:eastAsia="仿宋" w:cs="仿宋"/>
          <w:kern w:val="0"/>
          <w:sz w:val="24"/>
          <w:szCs w:val="24"/>
        </w:rPr>
      </w:pPr>
      <w:r>
        <w:rPr>
          <w:rFonts w:hint="eastAsia" w:ascii="仿宋" w:hAnsi="仿宋" w:eastAsia="仿宋" w:cs="仿宋"/>
          <w:kern w:val="0"/>
          <w:sz w:val="24"/>
          <w:szCs w:val="24"/>
        </w:rPr>
        <w:t>1.局部裂纹，空鼓部分整修，采用双组份无溶剂环氧做浸渍渗透加强。</w:t>
      </w:r>
    </w:p>
    <w:p>
      <w:pPr>
        <w:pStyle w:val="45"/>
        <w:keepNext w:val="0"/>
        <w:keepLines w:val="0"/>
        <w:pageBreakBefore w:val="0"/>
        <w:widowControl w:val="0"/>
        <w:kinsoku/>
        <w:wordWrap/>
        <w:overflowPunct/>
        <w:topLinePunct w:val="0"/>
        <w:autoSpaceDE/>
        <w:autoSpaceDN/>
        <w:bidi w:val="0"/>
        <w:adjustRightInd/>
        <w:snapToGrid/>
        <w:spacing w:line="440" w:lineRule="exact"/>
        <w:ind w:firstLineChars="150"/>
        <w:textAlignment w:val="auto"/>
        <w:rPr>
          <w:rFonts w:hint="eastAsia" w:ascii="仿宋" w:hAnsi="仿宋" w:eastAsia="仿宋" w:cs="仿宋"/>
          <w:kern w:val="0"/>
          <w:sz w:val="24"/>
          <w:szCs w:val="24"/>
        </w:rPr>
      </w:pPr>
      <w:r>
        <w:rPr>
          <w:rFonts w:hint="eastAsia" w:ascii="仿宋" w:hAnsi="仿宋" w:eastAsia="仿宋" w:cs="仿宋"/>
          <w:kern w:val="0"/>
          <w:sz w:val="24"/>
          <w:szCs w:val="24"/>
        </w:rPr>
        <w:t>2.基层采用耐碱玻璃纤维网格布满铺加强，网格布上面用基层界面剂封闭打底；</w:t>
      </w:r>
    </w:p>
    <w:p>
      <w:pPr>
        <w:pStyle w:val="45"/>
        <w:keepNext w:val="0"/>
        <w:keepLines w:val="0"/>
        <w:pageBreakBefore w:val="0"/>
        <w:widowControl w:val="0"/>
        <w:kinsoku/>
        <w:wordWrap/>
        <w:overflowPunct/>
        <w:topLinePunct w:val="0"/>
        <w:autoSpaceDE/>
        <w:autoSpaceDN/>
        <w:bidi w:val="0"/>
        <w:adjustRightInd/>
        <w:snapToGrid/>
        <w:spacing w:line="440" w:lineRule="exact"/>
        <w:ind w:firstLineChars="150"/>
        <w:textAlignment w:val="auto"/>
        <w:rPr>
          <w:rFonts w:hint="eastAsia" w:ascii="仿宋" w:hAnsi="仿宋" w:eastAsia="仿宋" w:cs="仿宋"/>
          <w:kern w:val="0"/>
          <w:sz w:val="24"/>
          <w:szCs w:val="24"/>
        </w:rPr>
      </w:pPr>
      <w:r>
        <w:rPr>
          <w:rFonts w:hint="eastAsia" w:ascii="仿宋" w:hAnsi="仿宋" w:eastAsia="仿宋" w:cs="仿宋"/>
          <w:kern w:val="0"/>
          <w:sz w:val="24"/>
          <w:szCs w:val="24"/>
        </w:rPr>
        <w:t>3.采用5mm厚高强自流平水泥，抗压强度40Mpa（要有厂家盖章的检测报告）；</w:t>
      </w:r>
    </w:p>
    <w:p>
      <w:pPr>
        <w:pStyle w:val="45"/>
        <w:keepNext w:val="0"/>
        <w:keepLines w:val="0"/>
        <w:pageBreakBefore w:val="0"/>
        <w:widowControl w:val="0"/>
        <w:kinsoku/>
        <w:wordWrap/>
        <w:overflowPunct/>
        <w:topLinePunct w:val="0"/>
        <w:autoSpaceDE/>
        <w:autoSpaceDN/>
        <w:bidi w:val="0"/>
        <w:adjustRightInd/>
        <w:snapToGrid/>
        <w:spacing w:line="440" w:lineRule="exact"/>
        <w:ind w:firstLineChars="150"/>
        <w:textAlignment w:val="auto"/>
        <w:rPr>
          <w:rFonts w:hint="eastAsia" w:ascii="仿宋" w:hAnsi="仿宋" w:eastAsia="仿宋" w:cs="仿宋"/>
          <w:kern w:val="0"/>
          <w:sz w:val="24"/>
          <w:szCs w:val="24"/>
        </w:rPr>
      </w:pPr>
      <w:r>
        <w:rPr>
          <w:rFonts w:hint="eastAsia" w:ascii="仿宋" w:hAnsi="仿宋" w:eastAsia="仿宋" w:cs="仿宋"/>
          <w:kern w:val="0"/>
          <w:sz w:val="24"/>
          <w:szCs w:val="24"/>
        </w:rPr>
        <w:t>4.自流平水泥必须采用两遍施工并达到5mm厚度。</w:t>
      </w:r>
    </w:p>
    <w:p>
      <w:pPr>
        <w:keepNext w:val="0"/>
        <w:keepLines w:val="0"/>
        <w:pageBreakBefore w:val="0"/>
        <w:widowControl w:val="0"/>
        <w:kinsoku/>
        <w:wordWrap/>
        <w:overflowPunct/>
        <w:topLinePunct w:val="0"/>
        <w:autoSpaceDE/>
        <w:autoSpaceDN/>
        <w:bidi w:val="0"/>
        <w:adjustRightInd/>
        <w:snapToGrid/>
        <w:spacing w:line="440" w:lineRule="exact"/>
        <w:ind w:firstLine="426"/>
        <w:textAlignment w:val="auto"/>
        <w:rPr>
          <w:rFonts w:hint="eastAsia" w:ascii="仿宋" w:hAnsi="仿宋" w:eastAsia="仿宋" w:cs="仿宋"/>
          <w:kern w:val="0"/>
          <w:sz w:val="24"/>
          <w:szCs w:val="24"/>
        </w:rPr>
      </w:pPr>
      <w:r>
        <w:rPr>
          <w:rFonts w:hint="eastAsia" w:ascii="仿宋" w:hAnsi="仿宋" w:eastAsia="仿宋" w:cs="仿宋"/>
          <w:kern w:val="0"/>
          <w:sz w:val="24"/>
          <w:szCs w:val="24"/>
        </w:rPr>
        <w:t>（三）产品的其他要求</w:t>
      </w:r>
    </w:p>
    <w:p>
      <w:pPr>
        <w:keepNext w:val="0"/>
        <w:keepLines w:val="0"/>
        <w:pageBreakBefore w:val="0"/>
        <w:widowControl w:val="0"/>
        <w:kinsoku/>
        <w:wordWrap/>
        <w:overflowPunct/>
        <w:topLinePunct w:val="0"/>
        <w:autoSpaceDE/>
        <w:autoSpaceDN/>
        <w:bidi w:val="0"/>
        <w:adjustRightInd/>
        <w:snapToGrid/>
        <w:spacing w:line="440" w:lineRule="exact"/>
        <w:ind w:firstLine="426"/>
        <w:textAlignment w:val="auto"/>
        <w:rPr>
          <w:rFonts w:hint="eastAsia" w:ascii="仿宋" w:hAnsi="仿宋" w:eastAsia="仿宋" w:cs="仿宋"/>
          <w:kern w:val="0"/>
          <w:sz w:val="24"/>
          <w:szCs w:val="24"/>
        </w:rPr>
      </w:pPr>
      <w:r>
        <w:rPr>
          <w:rFonts w:hint="eastAsia" w:ascii="仿宋" w:hAnsi="仿宋" w:eastAsia="仿宋" w:cs="仿宋"/>
          <w:kern w:val="0"/>
          <w:sz w:val="24"/>
          <w:szCs w:val="24"/>
        </w:rPr>
        <w:t>1.竞标人在投标文件中必须提供完整的产品型号、规格。</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2.产品必须是近一年内出厂的、全新的、未使用过的合格产品。</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kern w:val="0"/>
          <w:sz w:val="24"/>
          <w:szCs w:val="24"/>
          <w:lang w:eastAsia="zh-CN"/>
        </w:rPr>
        <w:t>产品</w:t>
      </w:r>
      <w:r>
        <w:rPr>
          <w:rFonts w:hint="eastAsia" w:ascii="仿宋" w:hAnsi="仿宋" w:eastAsia="仿宋" w:cs="仿宋"/>
          <w:kern w:val="0"/>
          <w:sz w:val="24"/>
          <w:szCs w:val="24"/>
        </w:rPr>
        <w:t>颜色</w:t>
      </w:r>
      <w:r>
        <w:rPr>
          <w:rFonts w:hint="eastAsia" w:ascii="仿宋" w:hAnsi="仿宋" w:eastAsia="仿宋" w:cs="仿宋"/>
          <w:kern w:val="0"/>
          <w:sz w:val="24"/>
          <w:szCs w:val="24"/>
          <w:lang w:eastAsia="zh-CN"/>
        </w:rPr>
        <w:t>由甲方</w:t>
      </w:r>
      <w:r>
        <w:rPr>
          <w:rFonts w:hint="eastAsia" w:ascii="仿宋" w:hAnsi="仿宋" w:eastAsia="仿宋" w:cs="仿宋"/>
          <w:kern w:val="0"/>
          <w:sz w:val="24"/>
          <w:szCs w:val="24"/>
        </w:rPr>
        <w:t>确定</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所用材料不得低于投标材料，材料进场须经甲方验收同意方可使用。</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产品要求提供省级以上检测机构盖章检测报告。</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二、磁抛通体大理石瓷砖技术要求</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1.厚度10~12mm;</w:t>
      </w:r>
      <w:r>
        <w:rPr>
          <w:rFonts w:hint="eastAsia" w:ascii="仿宋" w:hAnsi="仿宋" w:eastAsia="仿宋" w:cs="仿宋"/>
          <w:kern w:val="0"/>
          <w:sz w:val="24"/>
          <w:szCs w:val="24"/>
          <w:lang w:eastAsia="zh-CN"/>
        </w:rPr>
        <w:t>颜色由甲方确定。</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2.规格： 600*600mm,300*600mm</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3.所提供瓷砖的全部技术性能均须达到并优于国家标准。国家有关标准如下，但不限于此：</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《陶瓷砖》（GB/T 4100-2015）</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《建筑材料放射性核素限量》（GB6566-2010）</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4.表面平整度：-0.5mm～+0.5mm</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5.吸水率平均值：≤0.1%</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6.破坏强度（N）平均值≥2100</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7.断裂模数（Mpa）平均值平均值≥35</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8.抗冻性：无裂纹和剥落</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9.静摩擦系数：干法最小值≥0.5</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10.耐污染性：5级</w:t>
      </w:r>
    </w:p>
    <w:p>
      <w:pPr>
        <w:keepNext w:val="0"/>
        <w:keepLines w:val="0"/>
        <w:pageBreakBefore w:val="0"/>
        <w:widowControl w:val="0"/>
        <w:kinsoku/>
        <w:wordWrap/>
        <w:overflowPunct/>
        <w:topLinePunct w:val="0"/>
        <w:autoSpaceDE/>
        <w:autoSpaceDN/>
        <w:bidi w:val="0"/>
        <w:adjustRightInd/>
        <w:snapToGrid/>
        <w:spacing w:line="440" w:lineRule="exact"/>
        <w:ind w:firstLine="470" w:firstLineChars="196"/>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11.材料放射性水平类别为A类，内照射指数≤0.6；外照射指数≤0.8</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12.产品背面须有品牌logo，地板砖与墙面砖须为同一品牌</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三、卫生洁具总体质量要求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大便器、小便器、洗手盆等卫生陶瓷制品经国家级建材放射性监督检验测试中心检验达到GB6566－2010《建筑材料放射性核素限量》A类标准。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大便器、小便器、洗手盆等卫生陶瓷制品经国家级建材放射性监督检验测试中心或国家级建筑卫生陶瓷质量监督检测中心检测达到GB优等品标准。坐便器必须包括水箱配件的检测项目。</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洗脸盆龙头、自动感应龙头、感应冲水器等经国家级质量监督检测中心检测结果为合格产品。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所有洁具必须具有产品质量免检证书，和国家节水型认证。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卫生洁具的规格、型号必须符合招标文件要求；并有出厂产品合格证。卫生洁具外观应规矩、造型周正，表面光滑、美观、无裂纹，边缘平滑，色调一致。</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卫生洁具零件规格应标准，质量可靠，外表光滑，电镀均匀，螺纹清晰，锁母松紧适度，无砂眼、裂纹等缺陷。</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卫生器具给水配件应完好无损，接口严密，启闭部分灵活。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洗脸盆排水栓水封高度不得小于50mm。</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所有洁具必须符合GB／6952—2015《卫生陶瓷》及其他相关最新国家标准。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10、</w:t>
      </w:r>
      <w:r>
        <w:rPr>
          <w:rFonts w:hint="eastAsia" w:ascii="仿宋" w:hAnsi="仿宋" w:eastAsia="仿宋" w:cs="仿宋"/>
          <w:kern w:val="0"/>
          <w:sz w:val="24"/>
          <w:szCs w:val="24"/>
        </w:rPr>
        <w:t>未尽事宜，按图纸和有关标准规范执行。</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四、阻燃窗帘</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leftChars="0" w:firstLine="42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lang w:eastAsia="zh-CN"/>
        </w:rPr>
        <w:t>面料</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阻燃B1级纺织面料，高精密遮光布。</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2.克重≥300g/㎡ ,遮光率≥95%；</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3.耐光色牢度变色大于等于4级，水洗牢度大于等于4级。</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4.2倍饱和度（打褶1:2）；采用韩褶加工方式，用S弯钩法。</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5.窗帘头用8cm宽的窗帘衬带芯缝制。</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6.底边反折10cm；缝纫线与布料颜色相同或相近。</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left="210" w:leftChars="0" w:firstLine="42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全铝消音轨</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1.产品型号：白色加厚中方轨</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2.产品规格：宽25mm*高25mm  国标厚度1.8mm</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3.材料材质：优质铝合金</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4.承重标准：28公斤/米</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5.表面处理：电泳工艺,表面光滑，耐腐蚀，耐变色</w:t>
      </w:r>
    </w:p>
    <w:p>
      <w:pPr>
        <w:keepNext w:val="0"/>
        <w:keepLines w:val="0"/>
        <w:pageBreakBefore w:val="0"/>
        <w:widowControl w:val="0"/>
        <w:kinsoku/>
        <w:wordWrap/>
        <w:overflowPunct/>
        <w:topLinePunct w:val="0"/>
        <w:autoSpaceDE/>
        <w:autoSpaceDN/>
        <w:bidi w:val="0"/>
        <w:adjustRightInd/>
        <w:snapToGrid/>
        <w:spacing w:line="440" w:lineRule="exact"/>
        <w:ind w:left="559" w:leftChars="266" w:firstLine="0"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6.配套配件：加厚钢板安装码，加厚不锈钢挂环，静音大走珠</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五、断桥铝窗户技术要求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1.铝材：优质的铝合金窗所用的铝型材的厚度、强度和氧化膜等，应符合GB／T8478－2008《铝合金门／窗》及GB/T5823-2008《建筑门窗》国家标准规定，壁厚应在1．4亳米以上，抗拉强度达到每平方米亳米157牛顿，屈服强度要达至到每平方亳米108牛顿，氧化膜厚度应达到10微米。铝板和铝型材表面的喷涂厚度应均匀，涂层厚度≥40UM，涂层颜色应确保15年不褪色、不脱落。产品外观表面不应有铝屑毛刺、油污；密封胶缝隙应连续、平滑,链接处不应有外溢的胶粘剂，密封条应安装到位，不应有脱开的现象。铝合金各项渗透、强度、化学成份试验报告均应符合有关技术标准的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2.中空玻璃：采用6＋12A＋6（双钢化），应符合GB15763.2-2005《建筑用安全玻璃 第2部分：钢化玻璃》规定。隔热防潮槽铝装填防潮分子粒（95％），槽铝与玻璃粘结采用丁基复合胶，玻璃四周密封采用硅酮中空玻璃胶。采用双道密封外层密封胶层厚度为5mm～7mm，传导传热系数K值在1．65以下。胶条密封胶层厚度为8mm±2mm，中空玻璃不得有妨碍透视的污迹、夹杂物及密封胶飞溅现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3.五金件：五金件应符合JGT212－2007《建筑门窗五金件通用要求》及JGT124／125／130《建筑门窗五金传动机构执手、合页、锁闭器》等检验要求。外观应无明显的瑕疵、气孔、凹坑、毛刺等，连接处应牢固圆整、光滑，不应有裂纹。涂层应色泽均匀致，无气泡、流挂、脱落等现象，合页启闭顺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4.密封胶条：窗的密封胶条必须符合GB／T10712《建筑门窗三元乙丙密封胶条》标准规定</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使用三元乙丙等耐候性好的胶</w:t>
      </w:r>
      <w:r>
        <w:rPr>
          <w:rFonts w:hint="eastAsia" w:ascii="仿宋" w:hAnsi="仿宋" w:eastAsia="仿宋" w:cs="仿宋"/>
          <w:kern w:val="0"/>
          <w:sz w:val="24"/>
          <w:szCs w:val="24"/>
          <w:lang w:eastAsia="zh-CN"/>
        </w:rPr>
        <w:t>条</w:t>
      </w:r>
      <w:r>
        <w:rPr>
          <w:rFonts w:hint="eastAsia" w:ascii="仿宋" w:hAnsi="仿宋" w:eastAsia="仿宋" w:cs="仿宋"/>
          <w:kern w:val="0"/>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5</w:t>
      </w:r>
      <w:r>
        <w:rPr>
          <w:rFonts w:hint="eastAsia" w:ascii="仿宋" w:hAnsi="仿宋" w:eastAsia="仿宋" w:cs="仿宋"/>
          <w:kern w:val="0"/>
          <w:sz w:val="24"/>
          <w:szCs w:val="24"/>
          <w:lang w:val="en-US" w:eastAsia="zh-CN"/>
        </w:rPr>
        <w:t>.</w:t>
      </w:r>
      <w:r>
        <w:rPr>
          <w:rFonts w:hint="eastAsia" w:ascii="仿宋" w:hAnsi="仿宋" w:eastAsia="仿宋" w:cs="仿宋"/>
          <w:color w:val="000000"/>
          <w:kern w:val="0"/>
          <w:sz w:val="24"/>
          <w:szCs w:val="24"/>
          <w:lang w:val="en-US" w:eastAsia="zh-CN"/>
        </w:rPr>
        <w:t>推拉窗，硅化加片型毛条；金刚网防盗纱窗</w:t>
      </w:r>
      <w:r>
        <w:rPr>
          <w:rFonts w:hint="eastAsia" w:ascii="仿宋" w:hAnsi="仿宋" w:eastAsia="仿宋" w:cs="仿宋"/>
          <w:color w:val="000000"/>
          <w:kern w:val="0"/>
          <w:sz w:val="24"/>
          <w:szCs w:val="24"/>
        </w:rPr>
        <w:t>。</w:t>
      </w:r>
      <w:r>
        <w:rPr>
          <w:rFonts w:hint="eastAsia" w:ascii="仿宋" w:hAnsi="仿宋" w:eastAsia="仿宋" w:cs="仿宋"/>
          <w:kern w:val="0"/>
          <w:sz w:val="24"/>
          <w:szCs w:val="24"/>
        </w:rPr>
        <w:t>出厂前门窗的结构骨架表面必须加设保护膜。</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六、</w:t>
      </w:r>
      <w:r>
        <w:rPr>
          <w:rFonts w:hint="eastAsia" w:ascii="仿宋" w:hAnsi="仿宋" w:eastAsia="仿宋" w:cs="仿宋"/>
          <w:b/>
          <w:bCs/>
          <w:sz w:val="24"/>
          <w:szCs w:val="24"/>
          <w:lang w:val="en-US" w:eastAsia="zh-CN"/>
        </w:rPr>
        <w:t>实木复合门技术要求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（一）材料要求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1、基材：门的边梃、上梃、下梃等地方所用的材料，要求采用二次烘干松木，含水率应不大于12％。</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2、填充料：门芯部位要求使用的填充料为松木方料，隔音、隔热性能稳定。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3、平衡层：平衡层所使用的材料为高密度板；</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4、饰面材料：要求使用实木单板（俗称木皮），木皮材质与套材一致，需经过294Mpa以上高压及180℃以上高温热压而成，木皮厚度0.5mm以上。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5、实木门套线：门框必须安装牢固，固定点必须符合规范的规定。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6、油漆涂料：漆面要求294Mpa以上的压力下雾化喷涂形成，门表面的油漆宜光滑如水，内外一致，木材纹理清晰可辨，基材和面层还须增加一道封闭底漆。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7、五金件及钉类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（1）学校门专用门锁，铜质锁芯，门把手厚重美观。每扇门配钥匙9把。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（2）合页采用优质不锈钢抛光，保证耐高温，耐磨，启闭灵活，无噪音。</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（3）螺钉等五金件应采用优质高档品牌，保证耐高温，耐冲击，耐磨。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（4）防撞条采用优质PVC材料，黏贴牢固，不开裂。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二、制作、安装及施工要求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1.制作要求：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（1）本项目要求门高2400mm,门扇厚45mm以上，款式颜色由甲方确定。钢化磨砂玻璃亮子，玻璃厚度5mm。木门整体结构应采用平衡设计，以防止局部差异所导致的木门变形。</w:t>
      </w:r>
      <w:r>
        <w:rPr>
          <w:rFonts w:hint="eastAsia" w:ascii="仿宋" w:hAnsi="仿宋" w:eastAsia="仿宋" w:cs="仿宋"/>
          <w:color w:val="000000"/>
          <w:kern w:val="0"/>
          <w:sz w:val="24"/>
          <w:szCs w:val="24"/>
          <w:lang w:val="en-US" w:eastAsia="zh-CN"/>
        </w:rPr>
        <w:fldChar w:fldCharType="begin"/>
      </w:r>
      <w:r>
        <w:rPr>
          <w:rFonts w:hint="eastAsia" w:ascii="仿宋" w:hAnsi="仿宋" w:eastAsia="仿宋" w:cs="仿宋"/>
          <w:color w:val="000000"/>
          <w:kern w:val="0"/>
          <w:sz w:val="24"/>
          <w:szCs w:val="24"/>
          <w:lang w:val="en-US" w:eastAsia="zh-CN"/>
        </w:rPr>
        <w:instrText xml:space="preserve"> HYPERLINK "https://baike.baidu.com/item/%E9%97%A8%E6%89%87" \t "_blank" </w:instrText>
      </w:r>
      <w:r>
        <w:rPr>
          <w:rFonts w:hint="eastAsia" w:ascii="仿宋" w:hAnsi="仿宋" w:eastAsia="仿宋" w:cs="仿宋"/>
          <w:color w:val="000000"/>
          <w:kern w:val="0"/>
          <w:sz w:val="24"/>
          <w:szCs w:val="24"/>
          <w:lang w:val="en-US" w:eastAsia="zh-CN"/>
        </w:rPr>
        <w:fldChar w:fldCharType="separate"/>
      </w:r>
      <w:r>
        <w:rPr>
          <w:rFonts w:hint="eastAsia" w:ascii="仿宋" w:hAnsi="仿宋" w:eastAsia="仿宋" w:cs="仿宋"/>
          <w:color w:val="000000"/>
          <w:kern w:val="0"/>
          <w:sz w:val="24"/>
          <w:szCs w:val="24"/>
          <w:lang w:val="en-US" w:eastAsia="zh-CN"/>
        </w:rPr>
        <w:t>门扇</w:t>
      </w:r>
      <w:r>
        <w:rPr>
          <w:rFonts w:hint="eastAsia" w:ascii="仿宋" w:hAnsi="仿宋" w:eastAsia="仿宋" w:cs="仿宋"/>
          <w:color w:val="000000"/>
          <w:kern w:val="0"/>
          <w:sz w:val="24"/>
          <w:szCs w:val="24"/>
          <w:lang w:val="en-US" w:eastAsia="zh-CN"/>
        </w:rPr>
        <w:fldChar w:fldCharType="end"/>
      </w:r>
      <w:r>
        <w:rPr>
          <w:rFonts w:hint="eastAsia" w:ascii="仿宋" w:hAnsi="仿宋" w:eastAsia="仿宋" w:cs="仿宋"/>
          <w:color w:val="000000"/>
          <w:kern w:val="0"/>
          <w:sz w:val="24"/>
          <w:szCs w:val="24"/>
          <w:lang w:val="en-US" w:eastAsia="zh-CN"/>
        </w:rPr>
        <w:t>内的填充物饱满，门边刨修的木条与内框连结牢固，内框横、竖龙骨排列符合设计要求，安装合页处应有横向龙骨。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FF0000"/>
          <w:kern w:val="0"/>
          <w:sz w:val="24"/>
          <w:szCs w:val="24"/>
          <w:lang w:val="en-US" w:eastAsia="zh-CN"/>
        </w:rPr>
      </w:pPr>
      <w:r>
        <w:rPr>
          <w:rFonts w:hint="eastAsia" w:ascii="仿宋" w:hAnsi="仿宋" w:eastAsia="仿宋" w:cs="仿宋"/>
          <w:color w:val="000000"/>
          <w:kern w:val="0"/>
          <w:sz w:val="24"/>
          <w:szCs w:val="24"/>
          <w:lang w:val="en-US" w:eastAsia="zh-CN"/>
        </w:rPr>
        <w:t>（2）门扇表面为天然进口木皮，厚度≥0.5mm，木皮之间缝合自然无明显拼贴痕迹。门扇底150mm高包2mm厚黑钛金。</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（3）合页要求：每樘门3副带轴承合页，每副合页厚度2.5mm。</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（4）采用水基性胶黏剂，有害物质限量须符合国家标准。 门套与墙体之间采用发泡剂填塞密封。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2.其它要求：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（1）五金配件、密封条和紧固件等型号规格和性能均应符合国家现行标准的有关规定；出厂的门其外观、外型尺寸、装配质量应符合国家标准规定。</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仿宋" w:hAnsi="仿宋" w:eastAsia="仿宋" w:cs="仿宋"/>
          <w:kern w:val="0"/>
          <w:sz w:val="24"/>
          <w:szCs w:val="24"/>
        </w:rPr>
      </w:pPr>
      <w:r>
        <w:rPr>
          <w:rFonts w:hint="eastAsia" w:ascii="仿宋" w:hAnsi="仿宋" w:eastAsia="仿宋" w:cs="仿宋"/>
          <w:color w:val="000000"/>
          <w:kern w:val="0"/>
          <w:sz w:val="24"/>
          <w:szCs w:val="24"/>
          <w:lang w:val="en-US" w:eastAsia="zh-CN"/>
        </w:rPr>
        <w:t>（2）安装后成品表面光滑、洁净、无磕碰伤痕、锤印、缺损，边角处手感光滑。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供应商提供</w:t>
      </w:r>
      <w:r>
        <w:rPr>
          <w:rFonts w:hint="eastAsia" w:ascii="仿宋" w:hAnsi="仿宋" w:eastAsia="仿宋" w:cs="仿宋"/>
          <w:kern w:val="0"/>
          <w:sz w:val="24"/>
          <w:szCs w:val="24"/>
          <w:lang w:eastAsia="zh-CN"/>
        </w:rPr>
        <w:t>产品</w:t>
      </w:r>
      <w:r>
        <w:rPr>
          <w:rFonts w:hint="eastAsia" w:ascii="仿宋" w:hAnsi="仿宋" w:eastAsia="仿宋" w:cs="仿宋"/>
          <w:kern w:val="0"/>
          <w:sz w:val="24"/>
          <w:szCs w:val="24"/>
        </w:rPr>
        <w:t>质量检验报告，</w:t>
      </w:r>
      <w:r>
        <w:rPr>
          <w:rFonts w:hint="eastAsia" w:ascii="仿宋" w:hAnsi="仿宋" w:eastAsia="仿宋" w:cs="仿宋"/>
          <w:kern w:val="0"/>
          <w:sz w:val="24"/>
          <w:szCs w:val="24"/>
          <w:lang w:eastAsia="zh-CN"/>
        </w:rPr>
        <w:t>门安装前甲方现场破坏性检查。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投标时提供厂址，生产制作过程中，采购方将赴现场查看生产情况及产品质量。</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七、卫生间及盥洗室做法技术标准</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42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墙面地面施工工序</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630" w:leftChars="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墙面</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拆除原有墙砖及找平层</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按设计图纸埋设给排水管道及线管、插座等。</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清理基层，刷界面剂，20mm厚1:2水泥砂浆找平层 </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满刷</w:t>
      </w:r>
      <w:r>
        <w:rPr>
          <w:rFonts w:hint="eastAsia" w:ascii="仿宋" w:hAnsi="仿宋" w:eastAsia="仿宋" w:cs="仿宋"/>
          <w:kern w:val="0"/>
          <w:sz w:val="24"/>
          <w:szCs w:val="24"/>
        </w:rPr>
        <w:t>1.5mm厚JS防水涂料</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专业石材粘贴剂铺贴</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00*</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00mm通体大理石瓷砖</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美缝处理。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630" w:leftChars="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地面</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拆除原有卫生间</w:t>
      </w:r>
      <w:r>
        <w:rPr>
          <w:rFonts w:hint="eastAsia" w:ascii="仿宋" w:hAnsi="仿宋" w:eastAsia="仿宋" w:cs="仿宋"/>
          <w:kern w:val="0"/>
          <w:sz w:val="24"/>
          <w:szCs w:val="24"/>
          <w:lang w:eastAsia="zh-CN"/>
        </w:rPr>
        <w:t>洁具、</w:t>
      </w:r>
      <w:r>
        <w:rPr>
          <w:rFonts w:hint="eastAsia" w:ascii="仿宋" w:hAnsi="仿宋" w:eastAsia="仿宋" w:cs="仿宋"/>
          <w:kern w:val="0"/>
          <w:sz w:val="24"/>
          <w:szCs w:val="24"/>
        </w:rPr>
        <w:t>地砖、找平层、等至楼板</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楼板裂缝专业技术处理，清理基层，刷界面剂，20mm厚1:2水泥砂浆找平层</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阴阳角应做成圆弧角</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 xml:space="preserve">地面向地漏方向找坡  </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满铺丙纶布防水卷材两层</w:t>
      </w:r>
      <w:r>
        <w:rPr>
          <w:rFonts w:hint="eastAsia" w:ascii="仿宋" w:hAnsi="仿宋" w:eastAsia="仿宋" w:cs="仿宋"/>
          <w:kern w:val="0"/>
          <w:sz w:val="24"/>
          <w:szCs w:val="24"/>
          <w:lang w:eastAsia="zh-CN"/>
        </w:rPr>
        <w:t>，</w:t>
      </w:r>
      <w:r>
        <w:rPr>
          <w:rFonts w:hint="eastAsia" w:ascii="仿宋" w:hAnsi="仿宋" w:eastAsia="仿宋" w:cs="仿宋"/>
          <w:color w:val="000000"/>
          <w:kern w:val="0"/>
          <w:sz w:val="24"/>
          <w:szCs w:val="24"/>
          <w:lang w:eastAsia="zh-CN"/>
        </w:rPr>
        <w:t>沿墙面上翻</w:t>
      </w:r>
      <w:r>
        <w:rPr>
          <w:rFonts w:hint="eastAsia" w:ascii="仿宋" w:hAnsi="仿宋" w:eastAsia="仿宋" w:cs="仿宋"/>
          <w:color w:val="000000"/>
          <w:kern w:val="0"/>
          <w:sz w:val="24"/>
          <w:szCs w:val="24"/>
          <w:lang w:val="en-US" w:eastAsia="zh-CN"/>
        </w:rPr>
        <w:t>500mm</w:t>
      </w:r>
      <w:r>
        <w:rPr>
          <w:rFonts w:hint="eastAsia" w:ascii="仿宋" w:hAnsi="仿宋" w:eastAsia="仿宋" w:cs="仿宋"/>
          <w:kern w:val="0"/>
          <w:sz w:val="24"/>
          <w:szCs w:val="24"/>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20mm厚1:2水泥砂浆</w:t>
      </w:r>
      <w:r>
        <w:rPr>
          <w:rFonts w:hint="eastAsia" w:ascii="仿宋" w:hAnsi="仿宋" w:eastAsia="仿宋" w:cs="仿宋"/>
          <w:kern w:val="0"/>
          <w:sz w:val="24"/>
          <w:szCs w:val="24"/>
          <w:lang w:eastAsia="zh-CN"/>
        </w:rPr>
        <w:t>保护</w:t>
      </w:r>
      <w:r>
        <w:rPr>
          <w:rFonts w:hint="eastAsia" w:ascii="仿宋" w:hAnsi="仿宋" w:eastAsia="仿宋" w:cs="仿宋"/>
          <w:kern w:val="0"/>
          <w:sz w:val="24"/>
          <w:szCs w:val="24"/>
        </w:rPr>
        <w:t>层</w:t>
      </w:r>
    </w:p>
    <w:p>
      <w:pPr>
        <w:keepNext w:val="0"/>
        <w:keepLines w:val="0"/>
        <w:pageBreakBefore w:val="0"/>
        <w:widowControl w:val="0"/>
        <w:numPr>
          <w:ilvl w:val="0"/>
          <w:numId w:val="4"/>
        </w:numPr>
        <w:kinsoku/>
        <w:wordWrap/>
        <w:overflowPunct/>
        <w:topLinePunct w:val="0"/>
        <w:autoSpaceDE/>
        <w:autoSpaceDN/>
        <w:bidi w:val="0"/>
        <w:adjustRightInd/>
        <w:snapToGrid/>
        <w:spacing w:line="440" w:lineRule="exact"/>
        <w:ind w:left="1475" w:leftChars="0" w:hanging="425"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铺贴</w:t>
      </w:r>
      <w:r>
        <w:rPr>
          <w:rFonts w:hint="eastAsia" w:ascii="仿宋" w:hAnsi="仿宋" w:eastAsia="仿宋" w:cs="仿宋"/>
          <w:kern w:val="0"/>
          <w:sz w:val="24"/>
          <w:szCs w:val="24"/>
          <w:lang w:val="en-US" w:eastAsia="zh-CN"/>
        </w:rPr>
        <w:t>600</w:t>
      </w:r>
      <w:r>
        <w:rPr>
          <w:rFonts w:hint="eastAsia" w:ascii="仿宋" w:hAnsi="仿宋" w:eastAsia="仿宋" w:cs="仿宋"/>
          <w:kern w:val="0"/>
          <w:sz w:val="24"/>
          <w:szCs w:val="24"/>
        </w:rPr>
        <w:t>mm</w:t>
      </w:r>
      <w:r>
        <w:rPr>
          <w:rFonts w:hint="eastAsia" w:ascii="仿宋" w:hAnsi="仿宋" w:eastAsia="仿宋" w:cs="仿宋"/>
          <w:kern w:val="0"/>
          <w:sz w:val="24"/>
          <w:szCs w:val="24"/>
          <w:lang w:val="en-US" w:eastAsia="zh-CN"/>
        </w:rPr>
        <w:t>X600</w:t>
      </w:r>
      <w:r>
        <w:rPr>
          <w:rFonts w:hint="eastAsia" w:ascii="仿宋" w:hAnsi="仿宋" w:eastAsia="仿宋" w:cs="仿宋"/>
          <w:kern w:val="0"/>
          <w:sz w:val="24"/>
          <w:szCs w:val="24"/>
        </w:rPr>
        <w:t>mm通体大理石瓷砖</w:t>
      </w:r>
      <w:r>
        <w:rPr>
          <w:rFonts w:hint="eastAsia" w:ascii="仿宋" w:hAnsi="仿宋" w:eastAsia="仿宋" w:cs="仿宋"/>
          <w:kern w:val="0"/>
          <w:sz w:val="24"/>
          <w:szCs w:val="24"/>
          <w:lang w:val="en-US" w:eastAsia="zh-CN"/>
        </w:rPr>
        <w:t>,美缝处理</w:t>
      </w:r>
      <w:r>
        <w:rPr>
          <w:rFonts w:hint="eastAsia" w:ascii="仿宋" w:hAnsi="仿宋" w:eastAsia="仿宋" w:cs="仿宋"/>
          <w:kern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技术要求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⑴清理基层，刷界面剂，墙面做找平层。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⑵地面要求平整、牢固、干净、无明水</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凹凸不平及裂缝处须先处理，阴阳角应做成圆弧角。地漏坡度符合设计要求，不倒泛水，无积水，与地漏结合处严密牢固，无渗漏。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⑶防水层：穿楼板管根用水泥砂浆填缝，留5mm凹槽嵌填密封材料。墙地面刷1.5mm厚JS防水涂料，阴阳角、墙根、管根、地漏做防水附加层，墙面满铺丙纶布两层。防水涂料涂刷应均匀、致密,每遍涂刷方向应互相垂直,三遍完成。操作时先墙面后地面，地面防水层应涂刷出卫生间门口以外300宽 。施工完成后,待JS防水涂料结膜后及时对防水层进行检查,采用小刀裁割小块,实际测量防水层厚度。按100m2检查一处,对涂膜厚度达不到要求的增加涂刷遍数,直到达到厚度,达到厚度以后方可进行防水卷材铺贴。防水层铺贴完成后,应及时做好保护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⑷闭水试验：整个防水工程完工后，蓄水保存至少24小时，观察无渗漏现象后才算合格。</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⑸铺贴墙地砖：</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①材料要求：</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1)地砖品种、规格、花色、形状应符合</w:t>
      </w:r>
      <w:r>
        <w:rPr>
          <w:rFonts w:hint="eastAsia" w:ascii="仿宋" w:hAnsi="仿宋" w:eastAsia="仿宋" w:cs="仿宋"/>
          <w:kern w:val="0"/>
          <w:sz w:val="24"/>
          <w:szCs w:val="24"/>
          <w:lang w:eastAsia="zh-CN"/>
        </w:rPr>
        <w:t>甲方</w:t>
      </w:r>
      <w:r>
        <w:rPr>
          <w:rFonts w:hint="eastAsia" w:ascii="仿宋" w:hAnsi="仿宋" w:eastAsia="仿宋" w:cs="仿宋"/>
          <w:kern w:val="0"/>
          <w:sz w:val="24"/>
          <w:szCs w:val="24"/>
        </w:rPr>
        <w:t>要求及有关标准的规定，提供材料的检测报告、进场验收记录和复验报告等。</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2)地砖铺贴采用水泥选用32.5以上普通硅盐水泥，选用洁净中粗砂；墙砖采用</w:t>
      </w:r>
      <w:r>
        <w:rPr>
          <w:rFonts w:hint="eastAsia" w:ascii="仿宋" w:hAnsi="仿宋" w:eastAsia="仿宋" w:cs="仿宋"/>
          <w:kern w:val="0"/>
          <w:sz w:val="24"/>
          <w:szCs w:val="24"/>
          <w:lang w:eastAsia="zh-CN"/>
        </w:rPr>
        <w:t>背胶加</w:t>
      </w:r>
      <w:r>
        <w:rPr>
          <w:rFonts w:hint="eastAsia" w:ascii="仿宋" w:hAnsi="仿宋" w:eastAsia="仿宋" w:cs="仿宋"/>
          <w:kern w:val="0"/>
          <w:sz w:val="24"/>
          <w:szCs w:val="24"/>
        </w:rPr>
        <w:t>专用粘贴剂粘贴；砖缝隙专用十字卡控制。</w:t>
      </w: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0"/>
          <w:sz w:val="24"/>
          <w:szCs w:val="24"/>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②工艺流程: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kern w:val="0"/>
          <w:sz w:val="28"/>
          <w:szCs w:val="28"/>
        </w:rPr>
      </w:pPr>
      <w:r>
        <w:rPr>
          <w:rFonts w:hint="eastAsia" w:ascii="仿宋" w:hAnsi="仿宋" w:eastAsia="仿宋" w:cs="仿宋"/>
          <w:kern w:val="0"/>
          <w:sz w:val="24"/>
          <w:szCs w:val="24"/>
        </w:rPr>
        <w:t>基层处理→抹底层</w:t>
      </w:r>
      <w:r>
        <w:rPr>
          <w:rFonts w:hint="eastAsia" w:ascii="仿宋" w:hAnsi="仿宋" w:eastAsia="仿宋" w:cs="仿宋"/>
          <w:kern w:val="0"/>
          <w:sz w:val="24"/>
          <w:szCs w:val="24"/>
          <w:lang w:eastAsia="zh-CN"/>
        </w:rPr>
        <w:t>砂浆</w:t>
      </w:r>
      <w:r>
        <w:rPr>
          <w:rFonts w:hint="eastAsia" w:ascii="仿宋" w:hAnsi="仿宋" w:eastAsia="仿宋" w:cs="仿宋"/>
          <w:kern w:val="0"/>
          <w:sz w:val="24"/>
          <w:szCs w:val="24"/>
        </w:rPr>
        <w:t>→弹线→预铺→铺砖→拨缝修整→勾缝→养护</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八、乳胶漆施工技术要求</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㈠施工工序：铲除原有乳胶漆，基层处理——满刮腻子两遍——乳胶漆两遍——清扫保洁。</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1.铲除原有乳胶漆，基层处理：先将原墙顶面乳胶漆完全铲除，修补找平层，裂缝处理，局部墙面刷墙固加强。干燥后再用棕刷将表面灰尘清扫干净；表面清扫后，用水与醋酸乙烯乳胶的稀释液将腻子调至合适稠度，用它将墙面麻面、蜂窝、洞眼、残缺处填补好。腻子干透后，用粗砂纸打磨平整。</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2.满刮两遍腻子：第一遍应用胶皮刮板满刮，要求横向刮抹平整、均匀、光滑，密实平整，线角及边棱整齐为度。尽量刮薄，不得漏刮，接头不得留槎，注意不要沾污门窗框及其他部位，否则应及时清理。待第一遍腻子干透后，用粗砂纸打磨平整。注意操作要平衡，保护棱角，磨后用棕扫帚清扫干净；第二遍满刮腻子方法同第一遍，但刮抹方向与前腻子相垂直。然后用粗砂纸打磨平整，最后用细砂纸打磨平整光滑。</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3.乳胶漆两遍：预先在局部墙面上进行试刷试喷，以确定基层与涂料的相容情况，并同时确定合适的涂布量；乳胶漆涂料在使用前要充分摇动容器，使其充分混合均匀，然后打开容器，用木棍充分搅拌；喷涂时，嘴应始终保持与装饰表垂直（尤其在阴角处），喷枪呈Z字形向前推进，横纵交叉进行。喷枪移动要平衡涂布量要一致，不得时停时移，跳跃前进，以免发生堆料、流挂或漏喷现象。</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ascii="仿宋" w:hAnsi="仿宋" w:eastAsia="仿宋" w:cs="宋体"/>
          <w:kern w:val="0"/>
          <w:sz w:val="24"/>
          <w:szCs w:val="24"/>
        </w:rPr>
      </w:pPr>
      <w:r>
        <w:rPr>
          <w:rFonts w:hint="eastAsia" w:ascii="仿宋" w:hAnsi="仿宋" w:eastAsia="仿宋" w:cs="宋体"/>
          <w:kern w:val="0"/>
          <w:sz w:val="24"/>
          <w:szCs w:val="24"/>
        </w:rPr>
        <w:t>4.清扫保洁：清除遮挡物，清扫飞溅物料。</w:t>
      </w:r>
    </w:p>
    <w:p>
      <w:pPr>
        <w:keepNext w:val="0"/>
        <w:keepLines w:val="0"/>
        <w:pageBreakBefore w:val="0"/>
        <w:widowControl w:val="0"/>
        <w:kinsoku/>
        <w:wordWrap/>
        <w:overflowPunct/>
        <w:topLinePunct w:val="0"/>
        <w:bidi w:val="0"/>
        <w:snapToGrid/>
        <w:spacing w:line="440" w:lineRule="exact"/>
        <w:ind w:firstLine="470" w:firstLineChars="196"/>
        <w:jc w:val="left"/>
        <w:textAlignment w:val="auto"/>
        <w:rPr>
          <w:rFonts w:hint="eastAsia" w:ascii="仿宋" w:hAnsi="仿宋" w:eastAsia="仿宋" w:cs="宋体"/>
          <w:kern w:val="0"/>
          <w:sz w:val="24"/>
          <w:szCs w:val="24"/>
        </w:rPr>
      </w:pPr>
      <w:r>
        <w:rPr>
          <w:rFonts w:hint="eastAsia" w:ascii="仿宋" w:hAnsi="仿宋" w:eastAsia="仿宋" w:cs="宋体"/>
          <w:kern w:val="0"/>
          <w:sz w:val="24"/>
          <w:szCs w:val="24"/>
        </w:rPr>
        <w:t>㈡材料要求：乳胶漆和腻子粉选用国内知名品牌，产品要求提供省级以上检测机构盖章检测报告。项目完工需进行室内环境检测（提供合格的环境检测报告，且符合《民用建筑工程室内环境污染控制规范》GB50325-2020和《室内空气质量标准》GB/T18883-2002标准，产生的相关费用需承包人在报价中综合考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p>
    <w:p>
      <w:pPr>
        <w:rPr>
          <w:rFonts w:ascii="宋体" w:hAnsi="宋体" w:cs="宋体"/>
          <w:kern w:val="0"/>
          <w:szCs w:val="21"/>
        </w:rPr>
      </w:pPr>
      <w:r>
        <w:rPr>
          <w:rFonts w:ascii="宋体" w:hAnsi="宋体" w:cs="宋体"/>
          <w:kern w:val="0"/>
          <w:szCs w:val="21"/>
        </w:rPr>
        <w:br w:type="page"/>
      </w:r>
    </w:p>
    <w:p>
      <w:pPr>
        <w:pStyle w:val="2"/>
      </w:pPr>
      <w:r>
        <w:drawing>
          <wp:inline distT="0" distB="0" distL="114300" distR="114300">
            <wp:extent cx="5262245" cy="7437755"/>
            <wp:effectExtent l="0" t="0" r="1460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62245" cy="743775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B5695"/>
    <w:multiLevelType w:val="singleLevel"/>
    <w:tmpl w:val="CF5B5695"/>
    <w:lvl w:ilvl="0" w:tentative="0">
      <w:start w:val="1"/>
      <w:numFmt w:val="decimal"/>
      <w:lvlText w:val="(%1)"/>
      <w:lvlJc w:val="left"/>
      <w:pPr>
        <w:ind w:left="1475" w:hanging="425"/>
      </w:pPr>
      <w:rPr>
        <w:rFonts w:hint="default"/>
      </w:rPr>
    </w:lvl>
  </w:abstractNum>
  <w:abstractNum w:abstractNumId="1">
    <w:nsid w:val="CFF782A3"/>
    <w:multiLevelType w:val="singleLevel"/>
    <w:tmpl w:val="CFF782A3"/>
    <w:lvl w:ilvl="0" w:tentative="0">
      <w:start w:val="1"/>
      <w:numFmt w:val="decimal"/>
      <w:lvlText w:val="(%1)"/>
      <w:lvlJc w:val="left"/>
      <w:pPr>
        <w:ind w:left="1475" w:hanging="425"/>
      </w:pPr>
      <w:rPr>
        <w:rFonts w:hint="default"/>
        <w:color w:val="000000"/>
      </w:rPr>
    </w:lvl>
  </w:abstractNum>
  <w:abstractNum w:abstractNumId="2">
    <w:nsid w:val="0954DA0F"/>
    <w:multiLevelType w:val="singleLevel"/>
    <w:tmpl w:val="0954DA0F"/>
    <w:lvl w:ilvl="0" w:tentative="0">
      <w:start w:val="1"/>
      <w:numFmt w:val="chineseCounting"/>
      <w:suff w:val="nothing"/>
      <w:lvlText w:val="（%1）"/>
      <w:lvlJc w:val="left"/>
      <w:pPr>
        <w:ind w:left="0" w:firstLine="420"/>
      </w:pPr>
      <w:rPr>
        <w:rFonts w:hint="eastAsia"/>
      </w:rPr>
    </w:lvl>
  </w:abstractNum>
  <w:abstractNum w:abstractNumId="3">
    <w:nsid w:val="1EAB7827"/>
    <w:multiLevelType w:val="singleLevel"/>
    <w:tmpl w:val="1EAB7827"/>
    <w:lvl w:ilvl="0" w:tentative="0">
      <w:start w:val="1"/>
      <w:numFmt w:val="chineseCounting"/>
      <w:suff w:val="nothing"/>
      <w:lvlText w:val="（%1）"/>
      <w:lvlJc w:val="left"/>
      <w:pPr>
        <w:ind w:left="210" w:firstLine="42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84"/>
    <w:rsid w:val="0001205F"/>
    <w:rsid w:val="000226AD"/>
    <w:rsid w:val="00026FCB"/>
    <w:rsid w:val="00034638"/>
    <w:rsid w:val="00034642"/>
    <w:rsid w:val="000561C7"/>
    <w:rsid w:val="000840AB"/>
    <w:rsid w:val="000A246D"/>
    <w:rsid w:val="000F6846"/>
    <w:rsid w:val="000F68ED"/>
    <w:rsid w:val="0010431F"/>
    <w:rsid w:val="0011190E"/>
    <w:rsid w:val="001145FC"/>
    <w:rsid w:val="00136E59"/>
    <w:rsid w:val="00164C22"/>
    <w:rsid w:val="0018267E"/>
    <w:rsid w:val="001C66B2"/>
    <w:rsid w:val="001C781F"/>
    <w:rsid w:val="002348DB"/>
    <w:rsid w:val="002800E2"/>
    <w:rsid w:val="002D375A"/>
    <w:rsid w:val="00306473"/>
    <w:rsid w:val="00366C45"/>
    <w:rsid w:val="00385F43"/>
    <w:rsid w:val="00393DE2"/>
    <w:rsid w:val="003D21A2"/>
    <w:rsid w:val="00403C48"/>
    <w:rsid w:val="0042020A"/>
    <w:rsid w:val="004458DC"/>
    <w:rsid w:val="004475C7"/>
    <w:rsid w:val="004557A1"/>
    <w:rsid w:val="00476CAE"/>
    <w:rsid w:val="004C1201"/>
    <w:rsid w:val="004C1681"/>
    <w:rsid w:val="004C4F38"/>
    <w:rsid w:val="004C5E17"/>
    <w:rsid w:val="004E5ACA"/>
    <w:rsid w:val="004E5F0D"/>
    <w:rsid w:val="004F72E8"/>
    <w:rsid w:val="00512C44"/>
    <w:rsid w:val="00572FA9"/>
    <w:rsid w:val="00592939"/>
    <w:rsid w:val="005A0A60"/>
    <w:rsid w:val="005B41B6"/>
    <w:rsid w:val="005C70AD"/>
    <w:rsid w:val="005C70CC"/>
    <w:rsid w:val="005D6A55"/>
    <w:rsid w:val="005E0273"/>
    <w:rsid w:val="005E0454"/>
    <w:rsid w:val="005F77FD"/>
    <w:rsid w:val="006004F5"/>
    <w:rsid w:val="006006A1"/>
    <w:rsid w:val="006053C6"/>
    <w:rsid w:val="00610B4E"/>
    <w:rsid w:val="006203A8"/>
    <w:rsid w:val="00625AD0"/>
    <w:rsid w:val="006659D0"/>
    <w:rsid w:val="00675322"/>
    <w:rsid w:val="00677F06"/>
    <w:rsid w:val="00684B31"/>
    <w:rsid w:val="006A1504"/>
    <w:rsid w:val="006B273E"/>
    <w:rsid w:val="006C13AA"/>
    <w:rsid w:val="006E1E9B"/>
    <w:rsid w:val="006F5578"/>
    <w:rsid w:val="00747C45"/>
    <w:rsid w:val="00785224"/>
    <w:rsid w:val="00793FAE"/>
    <w:rsid w:val="007C7F7E"/>
    <w:rsid w:val="007F4E84"/>
    <w:rsid w:val="00846E98"/>
    <w:rsid w:val="00862CFA"/>
    <w:rsid w:val="00874BAD"/>
    <w:rsid w:val="00892252"/>
    <w:rsid w:val="008A1B7E"/>
    <w:rsid w:val="008B75D5"/>
    <w:rsid w:val="009035C2"/>
    <w:rsid w:val="0091659A"/>
    <w:rsid w:val="0092066B"/>
    <w:rsid w:val="00933AF5"/>
    <w:rsid w:val="0094628E"/>
    <w:rsid w:val="0095648B"/>
    <w:rsid w:val="009A36B5"/>
    <w:rsid w:val="009B04BF"/>
    <w:rsid w:val="009B2328"/>
    <w:rsid w:val="009D058B"/>
    <w:rsid w:val="009D783F"/>
    <w:rsid w:val="009F28B4"/>
    <w:rsid w:val="009F35D8"/>
    <w:rsid w:val="009F652A"/>
    <w:rsid w:val="00A000EA"/>
    <w:rsid w:val="00A03F60"/>
    <w:rsid w:val="00A33222"/>
    <w:rsid w:val="00A50C4D"/>
    <w:rsid w:val="00AC324B"/>
    <w:rsid w:val="00AF20F0"/>
    <w:rsid w:val="00B10CA8"/>
    <w:rsid w:val="00B40065"/>
    <w:rsid w:val="00B466E7"/>
    <w:rsid w:val="00B57730"/>
    <w:rsid w:val="00B86927"/>
    <w:rsid w:val="00B91F96"/>
    <w:rsid w:val="00BD6B67"/>
    <w:rsid w:val="00BE0303"/>
    <w:rsid w:val="00BF32FA"/>
    <w:rsid w:val="00C02E06"/>
    <w:rsid w:val="00C03909"/>
    <w:rsid w:val="00C13C66"/>
    <w:rsid w:val="00C360CB"/>
    <w:rsid w:val="00C3757D"/>
    <w:rsid w:val="00C445D0"/>
    <w:rsid w:val="00C5410B"/>
    <w:rsid w:val="00C66D16"/>
    <w:rsid w:val="00C7239E"/>
    <w:rsid w:val="00C7712A"/>
    <w:rsid w:val="00C80DDC"/>
    <w:rsid w:val="00C91EAF"/>
    <w:rsid w:val="00CB20D4"/>
    <w:rsid w:val="00CF10DA"/>
    <w:rsid w:val="00D122F3"/>
    <w:rsid w:val="00D54EE1"/>
    <w:rsid w:val="00D60E58"/>
    <w:rsid w:val="00DD53E1"/>
    <w:rsid w:val="00DF462C"/>
    <w:rsid w:val="00E22555"/>
    <w:rsid w:val="00E315BB"/>
    <w:rsid w:val="00E32C58"/>
    <w:rsid w:val="00E45969"/>
    <w:rsid w:val="00E932C1"/>
    <w:rsid w:val="00EA0C9E"/>
    <w:rsid w:val="00EB39C0"/>
    <w:rsid w:val="00EF3113"/>
    <w:rsid w:val="00EF3BB6"/>
    <w:rsid w:val="00F14532"/>
    <w:rsid w:val="00F26203"/>
    <w:rsid w:val="00F60EB6"/>
    <w:rsid w:val="00F74C95"/>
    <w:rsid w:val="00F817A6"/>
    <w:rsid w:val="00F830E0"/>
    <w:rsid w:val="00FA624E"/>
    <w:rsid w:val="00FB6AF3"/>
    <w:rsid w:val="03FD3149"/>
    <w:rsid w:val="057C227E"/>
    <w:rsid w:val="06A43FB4"/>
    <w:rsid w:val="0C263DA4"/>
    <w:rsid w:val="1C1B0B27"/>
    <w:rsid w:val="1F0F260A"/>
    <w:rsid w:val="21C77B15"/>
    <w:rsid w:val="285E3FE4"/>
    <w:rsid w:val="2D8B13A5"/>
    <w:rsid w:val="2F4536E8"/>
    <w:rsid w:val="30EA45BE"/>
    <w:rsid w:val="3B4056F2"/>
    <w:rsid w:val="3C326DE4"/>
    <w:rsid w:val="3FA77CD7"/>
    <w:rsid w:val="414665F3"/>
    <w:rsid w:val="4E2F2C12"/>
    <w:rsid w:val="4E575104"/>
    <w:rsid w:val="507B066E"/>
    <w:rsid w:val="533B09F2"/>
    <w:rsid w:val="53A80249"/>
    <w:rsid w:val="56CB31E9"/>
    <w:rsid w:val="575203DB"/>
    <w:rsid w:val="594A2751"/>
    <w:rsid w:val="64CD3B77"/>
    <w:rsid w:val="64D44FF9"/>
    <w:rsid w:val="6620430F"/>
    <w:rsid w:val="6CCB60B7"/>
    <w:rsid w:val="6E716C7B"/>
    <w:rsid w:val="6ED732D1"/>
    <w:rsid w:val="73F13C23"/>
    <w:rsid w:val="752E035F"/>
    <w:rsid w:val="75AD38A2"/>
    <w:rsid w:val="79935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1"/>
    <w:pPr>
      <w:spacing w:before="38"/>
      <w:ind w:left="1482" w:right="1677"/>
      <w:jc w:val="center"/>
      <w:outlineLvl w:val="0"/>
    </w:pPr>
    <w:rPr>
      <w:rFonts w:ascii="宋体" w:hAnsi="宋体" w:cs="宋体"/>
      <w:b/>
      <w:bCs/>
      <w:sz w:val="36"/>
      <w:szCs w:val="36"/>
      <w:lang w:val="zh-CN" w:bidi="zh-CN"/>
    </w:rPr>
  </w:style>
  <w:style w:type="paragraph" w:styleId="4">
    <w:name w:val="heading 2"/>
    <w:basedOn w:val="1"/>
    <w:next w:val="5"/>
    <w:link w:val="25"/>
    <w:qFormat/>
    <w:uiPriority w:val="0"/>
    <w:pPr>
      <w:keepNext/>
      <w:jc w:val="center"/>
      <w:outlineLvl w:val="1"/>
    </w:pPr>
    <w:rPr>
      <w:rFonts w:ascii="楷体_GB2312" w:eastAsia="仿宋_GB2312"/>
      <w:b/>
      <w:sz w:val="32"/>
    </w:rPr>
  </w:style>
  <w:style w:type="paragraph" w:styleId="6">
    <w:name w:val="heading 3"/>
    <w:basedOn w:val="1"/>
    <w:next w:val="1"/>
    <w:link w:val="26"/>
    <w:qFormat/>
    <w:uiPriority w:val="0"/>
    <w:pPr>
      <w:keepNext/>
      <w:keepLines/>
      <w:spacing w:line="360" w:lineRule="auto"/>
      <w:outlineLvl w:val="2"/>
    </w:pPr>
    <w:rPr>
      <w:b/>
      <w:bCs/>
      <w:sz w:val="24"/>
      <w:szCs w:val="32"/>
    </w:rPr>
  </w:style>
  <w:style w:type="paragraph" w:styleId="7">
    <w:name w:val="heading 4"/>
    <w:basedOn w:val="1"/>
    <w:next w:val="1"/>
    <w:link w:val="27"/>
    <w:qFormat/>
    <w:uiPriority w:val="0"/>
    <w:pPr>
      <w:keepNext/>
      <w:keepLines/>
      <w:spacing w:line="360" w:lineRule="auto"/>
      <w:outlineLvl w:val="3"/>
    </w:pPr>
    <w:rPr>
      <w:rFonts w:ascii="Arial" w:hAnsi="Arial"/>
      <w:b/>
      <w:bCs/>
      <w:szCs w:val="28"/>
    </w:rPr>
  </w:style>
  <w:style w:type="character" w:default="1" w:styleId="21">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unhideWhenUsed/>
    <w:qFormat/>
    <w:uiPriority w:val="99"/>
    <w:pPr>
      <w:spacing w:line="240" w:lineRule="auto"/>
      <w:ind w:left="840" w:hanging="210"/>
    </w:pPr>
  </w:style>
  <w:style w:type="paragraph" w:styleId="5">
    <w:name w:val="Normal Indent"/>
    <w:basedOn w:val="1"/>
    <w:next w:val="1"/>
    <w:qFormat/>
    <w:uiPriority w:val="0"/>
    <w:pPr>
      <w:ind w:firstLine="420" w:firstLineChars="200"/>
    </w:pPr>
  </w:style>
  <w:style w:type="paragraph" w:styleId="8">
    <w:name w:val="Body Text"/>
    <w:basedOn w:val="1"/>
    <w:next w:val="9"/>
    <w:link w:val="28"/>
    <w:unhideWhenUsed/>
    <w:qFormat/>
    <w:uiPriority w:val="0"/>
    <w:pPr>
      <w:spacing w:after="120"/>
    </w:pPr>
  </w:style>
  <w:style w:type="paragraph" w:styleId="9">
    <w:name w:val="Body Text 2"/>
    <w:basedOn w:val="1"/>
    <w:qFormat/>
    <w:uiPriority w:val="0"/>
    <w:pPr>
      <w:spacing w:after="120" w:line="480" w:lineRule="auto"/>
    </w:pPr>
  </w:style>
  <w:style w:type="paragraph" w:styleId="10">
    <w:name w:val="toc 3"/>
    <w:basedOn w:val="1"/>
    <w:next w:val="1"/>
    <w:qFormat/>
    <w:uiPriority w:val="39"/>
    <w:pPr>
      <w:ind w:left="840" w:leftChars="400"/>
    </w:pPr>
  </w:style>
  <w:style w:type="paragraph" w:styleId="11">
    <w:name w:val="Balloon Text"/>
    <w:basedOn w:val="1"/>
    <w:link w:val="44"/>
    <w:semiHidden/>
    <w:unhideWhenUsed/>
    <w:qFormat/>
    <w:uiPriority w:val="99"/>
    <w:rPr>
      <w:sz w:val="18"/>
      <w:szCs w:val="18"/>
    </w:rPr>
  </w:style>
  <w:style w:type="paragraph" w:styleId="12">
    <w:name w:val="footer"/>
    <w:basedOn w:val="1"/>
    <w:next w:val="1"/>
    <w:link w:val="30"/>
    <w:qFormat/>
    <w:uiPriority w:val="99"/>
    <w:pPr>
      <w:tabs>
        <w:tab w:val="center" w:pos="4153"/>
        <w:tab w:val="right" w:pos="8306"/>
      </w:tabs>
      <w:snapToGrid w:val="0"/>
      <w:jc w:val="left"/>
    </w:pPr>
    <w:rPr>
      <w:sz w:val="18"/>
      <w:szCs w:val="18"/>
    </w:rPr>
  </w:style>
  <w:style w:type="paragraph" w:styleId="13">
    <w:name w:val="header"/>
    <w:basedOn w:val="1"/>
    <w:link w:val="3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List"/>
    <w:basedOn w:val="1"/>
    <w:qFormat/>
    <w:uiPriority w:val="0"/>
    <w:pPr>
      <w:ind w:left="420" w:hanging="420"/>
    </w:pPr>
    <w:rPr>
      <w:rFonts w:ascii="Calibri" w:hAnsi="Calibri" w:eastAsia="楷体_GB2312"/>
      <w:sz w:val="32"/>
      <w:szCs w:val="20"/>
    </w:rPr>
  </w:style>
  <w:style w:type="paragraph" w:styleId="16">
    <w:name w:val="toc 2"/>
    <w:basedOn w:val="1"/>
    <w:next w:val="1"/>
    <w:qFormat/>
    <w:uiPriority w:val="39"/>
    <w:pPr>
      <w:ind w:left="420" w:leftChars="200"/>
    </w:pPr>
  </w:style>
  <w:style w:type="paragraph" w:styleId="17">
    <w:name w:val="Message Header"/>
    <w:basedOn w:val="1"/>
    <w:next w:val="1"/>
    <w:link w:val="32"/>
    <w:qFormat/>
    <w:uiPriority w:val="0"/>
    <w:pPr>
      <w:shd w:val="pct20" w:color="000000" w:fill="auto"/>
      <w:ind w:firstLine="22"/>
    </w:pPr>
  </w:style>
  <w:style w:type="paragraph" w:styleId="18">
    <w:name w:val="Normal (Web)"/>
    <w:basedOn w:val="1"/>
    <w:next w:val="1"/>
    <w:qFormat/>
    <w:uiPriority w:val="0"/>
    <w:pPr>
      <w:spacing w:before="100" w:beforeAutospacing="1" w:after="100" w:afterAutospacing="1"/>
      <w:jc w:val="left"/>
    </w:pPr>
    <w:rPr>
      <w:kern w:val="0"/>
      <w:sz w:val="24"/>
    </w:rPr>
  </w:style>
  <w:style w:type="paragraph" w:styleId="19">
    <w:name w:val="Body Text First Indent"/>
    <w:basedOn w:val="8"/>
    <w:link w:val="29"/>
    <w:qFormat/>
    <w:uiPriority w:val="0"/>
    <w:pPr>
      <w:ind w:firstLine="420"/>
    </w:pPr>
    <w:rPr>
      <w:sz w:val="32"/>
      <w:szCs w:val="20"/>
    </w:rPr>
  </w:style>
  <w:style w:type="character" w:styleId="22">
    <w:name w:val="page number"/>
    <w:basedOn w:val="21"/>
    <w:qFormat/>
    <w:uiPriority w:val="0"/>
  </w:style>
  <w:style w:type="paragraph" w:customStyle="1" w:styleId="23">
    <w:name w:val="BodyText"/>
    <w:basedOn w:val="1"/>
    <w:qFormat/>
    <w:uiPriority w:val="0"/>
    <w:pPr>
      <w:spacing w:after="120"/>
      <w:textAlignment w:val="baseline"/>
    </w:pPr>
  </w:style>
  <w:style w:type="character" w:customStyle="1" w:styleId="24">
    <w:name w:val="标题 1 Char"/>
    <w:basedOn w:val="21"/>
    <w:link w:val="3"/>
    <w:qFormat/>
    <w:uiPriority w:val="1"/>
    <w:rPr>
      <w:rFonts w:ascii="宋体" w:hAnsi="宋体" w:eastAsia="宋体" w:cs="宋体"/>
      <w:b/>
      <w:bCs/>
      <w:sz w:val="36"/>
      <w:szCs w:val="36"/>
      <w:lang w:val="zh-CN" w:bidi="zh-CN"/>
    </w:rPr>
  </w:style>
  <w:style w:type="character" w:customStyle="1" w:styleId="25">
    <w:name w:val="标题 2 Char"/>
    <w:basedOn w:val="21"/>
    <w:link w:val="4"/>
    <w:qFormat/>
    <w:uiPriority w:val="0"/>
    <w:rPr>
      <w:rFonts w:ascii="楷体_GB2312" w:hAnsi="Times New Roman" w:eastAsia="仿宋_GB2312" w:cs="Times New Roman"/>
      <w:b/>
      <w:sz w:val="32"/>
      <w:szCs w:val="24"/>
    </w:rPr>
  </w:style>
  <w:style w:type="character" w:customStyle="1" w:styleId="26">
    <w:name w:val="标题 3 Char"/>
    <w:basedOn w:val="21"/>
    <w:link w:val="6"/>
    <w:qFormat/>
    <w:uiPriority w:val="0"/>
    <w:rPr>
      <w:rFonts w:ascii="Times New Roman" w:hAnsi="Times New Roman" w:eastAsia="宋体" w:cs="Times New Roman"/>
      <w:b/>
      <w:bCs/>
      <w:sz w:val="24"/>
      <w:szCs w:val="32"/>
    </w:rPr>
  </w:style>
  <w:style w:type="character" w:customStyle="1" w:styleId="27">
    <w:name w:val="标题 4 Char"/>
    <w:basedOn w:val="21"/>
    <w:link w:val="7"/>
    <w:qFormat/>
    <w:uiPriority w:val="0"/>
    <w:rPr>
      <w:rFonts w:ascii="Arial" w:hAnsi="Arial" w:eastAsia="宋体" w:cs="Times New Roman"/>
      <w:b/>
      <w:bCs/>
      <w:szCs w:val="28"/>
    </w:rPr>
  </w:style>
  <w:style w:type="character" w:customStyle="1" w:styleId="28">
    <w:name w:val="正文文本 Char"/>
    <w:basedOn w:val="21"/>
    <w:link w:val="8"/>
    <w:semiHidden/>
    <w:qFormat/>
    <w:uiPriority w:val="99"/>
    <w:rPr>
      <w:rFonts w:ascii="Times New Roman" w:hAnsi="Times New Roman" w:eastAsia="宋体" w:cs="Times New Roman"/>
      <w:szCs w:val="24"/>
    </w:rPr>
  </w:style>
  <w:style w:type="character" w:customStyle="1" w:styleId="29">
    <w:name w:val="正文首行缩进 Char"/>
    <w:basedOn w:val="28"/>
    <w:link w:val="19"/>
    <w:qFormat/>
    <w:uiPriority w:val="0"/>
    <w:rPr>
      <w:sz w:val="32"/>
      <w:szCs w:val="20"/>
    </w:rPr>
  </w:style>
  <w:style w:type="character" w:customStyle="1" w:styleId="30">
    <w:name w:val="页脚 Char"/>
    <w:basedOn w:val="21"/>
    <w:link w:val="12"/>
    <w:qFormat/>
    <w:uiPriority w:val="99"/>
    <w:rPr>
      <w:rFonts w:ascii="Times New Roman" w:hAnsi="Times New Roman" w:eastAsia="宋体" w:cs="Times New Roman"/>
      <w:sz w:val="18"/>
      <w:szCs w:val="18"/>
    </w:rPr>
  </w:style>
  <w:style w:type="character" w:customStyle="1" w:styleId="31">
    <w:name w:val="页眉 Char"/>
    <w:basedOn w:val="21"/>
    <w:link w:val="13"/>
    <w:qFormat/>
    <w:uiPriority w:val="0"/>
    <w:rPr>
      <w:rFonts w:ascii="Times New Roman" w:hAnsi="Times New Roman" w:eastAsia="宋体" w:cs="Times New Roman"/>
      <w:sz w:val="18"/>
      <w:szCs w:val="24"/>
    </w:rPr>
  </w:style>
  <w:style w:type="character" w:customStyle="1" w:styleId="32">
    <w:name w:val="信息标题 Char"/>
    <w:basedOn w:val="21"/>
    <w:link w:val="17"/>
    <w:qFormat/>
    <w:uiPriority w:val="0"/>
    <w:rPr>
      <w:rFonts w:ascii="Times New Roman" w:hAnsi="Times New Roman" w:eastAsia="宋体" w:cs="Times New Roman"/>
      <w:szCs w:val="24"/>
      <w:shd w:val="pct20" w:color="000000" w:fill="auto"/>
    </w:rPr>
  </w:style>
  <w:style w:type="paragraph" w:customStyle="1" w:styleId="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正文缩进1"/>
    <w:basedOn w:val="1"/>
    <w:qFormat/>
    <w:uiPriority w:val="0"/>
    <w:pPr>
      <w:ind w:firstLine="420"/>
    </w:pPr>
    <w:rPr>
      <w:szCs w:val="20"/>
    </w:rPr>
  </w:style>
  <w:style w:type="paragraph" w:customStyle="1" w:styleId="35">
    <w:name w:val="样式 标题 2 + Times New Roman 四号 非加粗 段前: 5 磅 段后: 0 磅 行距: 固定值 20..."/>
    <w:basedOn w:val="4"/>
    <w:qFormat/>
    <w:uiPriority w:val="0"/>
    <w:pPr>
      <w:spacing w:before="100" w:line="400" w:lineRule="exact"/>
    </w:pPr>
    <w:rPr>
      <w:rFonts w:ascii="Times New Roman" w:cs="宋体"/>
      <w:b w:val="0"/>
      <w:sz w:val="28"/>
      <w:szCs w:val="20"/>
    </w:rPr>
  </w:style>
  <w:style w:type="paragraph" w:customStyle="1" w:styleId="36">
    <w:name w:val="正文首行缩进两字符"/>
    <w:basedOn w:val="1"/>
    <w:qFormat/>
    <w:uiPriority w:val="0"/>
    <w:pPr>
      <w:spacing w:line="360" w:lineRule="auto"/>
      <w:ind w:firstLine="200" w:firstLineChars="200"/>
    </w:p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8">
    <w:name w:val="Heading #3|1"/>
    <w:basedOn w:val="1"/>
    <w:qFormat/>
    <w:uiPriority w:val="0"/>
    <w:pPr>
      <w:spacing w:line="470" w:lineRule="exact"/>
      <w:outlineLvl w:val="2"/>
    </w:pPr>
    <w:rPr>
      <w:rFonts w:ascii="宋体" w:hAnsi="宋体" w:cs="宋体"/>
      <w:b/>
      <w:bCs/>
      <w:lang w:val="zh-TW" w:eastAsia="zh-TW" w:bidi="zh-TW"/>
    </w:rPr>
  </w:style>
  <w:style w:type="paragraph" w:customStyle="1" w:styleId="39">
    <w:name w:val="无间隔1"/>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customStyle="1" w:styleId="40">
    <w:name w:val="Heading #4|1"/>
    <w:basedOn w:val="1"/>
    <w:qFormat/>
    <w:uiPriority w:val="0"/>
    <w:pPr>
      <w:spacing w:line="468" w:lineRule="exact"/>
      <w:outlineLvl w:val="3"/>
    </w:pPr>
    <w:rPr>
      <w:rFonts w:ascii="宋体" w:hAnsi="宋体" w:cs="宋体"/>
      <w:b/>
      <w:bCs/>
      <w:lang w:val="zh-TW" w:eastAsia="zh-TW" w:bidi="zh-TW"/>
    </w:rPr>
  </w:style>
  <w:style w:type="paragraph" w:customStyle="1" w:styleId="41">
    <w:name w:val="Body text|1"/>
    <w:basedOn w:val="1"/>
    <w:qFormat/>
    <w:uiPriority w:val="0"/>
    <w:pPr>
      <w:spacing w:line="413" w:lineRule="auto"/>
      <w:ind w:firstLine="400"/>
    </w:pPr>
    <w:rPr>
      <w:rFonts w:ascii="宋体" w:hAnsi="宋体" w:cs="宋体"/>
      <w:lang w:val="zh-TW" w:eastAsia="zh-TW" w:bidi="zh-TW"/>
    </w:rPr>
  </w:style>
  <w:style w:type="paragraph" w:customStyle="1" w:styleId="42">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3">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4">
    <w:name w:val="批注框文本 Char"/>
    <w:basedOn w:val="21"/>
    <w:link w:val="11"/>
    <w:semiHidden/>
    <w:qFormat/>
    <w:uiPriority w:val="99"/>
    <w:rPr>
      <w:rFonts w:ascii="Times New Roman" w:hAnsi="Times New Roman" w:eastAsia="宋体" w:cs="Times New Roman"/>
      <w:sz w:val="18"/>
      <w:szCs w:val="18"/>
    </w:rPr>
  </w:style>
  <w:style w:type="paragraph" w:customStyle="1" w:styleId="45">
    <w:name w:val="_Style 1"/>
    <w:basedOn w:val="1"/>
    <w:qFormat/>
    <w:uiPriority w:val="0"/>
    <w:pPr>
      <w:ind w:firstLine="420" w:firstLineChars="200"/>
    </w:p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customXml" Target="../customXml/item1.xml"/>
  <Relationship Id="rId13" Type="http://schemas.openxmlformats.org/officeDocument/2006/relationships/numbering" Target="numbering.xml"/>
  <Relationship Id="rId14"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2156</Words>
  <Characters>12295</Characters>
  <Lines>102</Lines>
  <Paragraphs>28</Paragraphs>
  <TotalTime>15</TotalTime>
  <ScaleCrop>false</ScaleCrop>
  <LinksUpToDate>false</LinksUpToDate>
  <CharactersWithSpaces>14423</CharactersWithSpaces>
  <Application>WPS Office_11.1.0.11294_F1E327BC-269C-435d-A152-05C5408002CA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2022-02-25T07:45:29Z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73941F6FC95640FE9E4621CEF7620EEB</vt:lpwstr>
  </property>
</Properties>
</file>